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GNotKG — Grundstücksgleiche Rechte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die Bewertung von Grundstücken geltenden Vorschriften sind auf Rechte entsprechend anzuwenden, die den für Grundstücke geltenden Vorschriften unterliegen, soweit sich aus Absatz 2 nichts anderes ergibt.</w:t>
      </w:r>
    </w:p>
    <w:p>
      <w:r>
        <w:t xml:space="preserve">(2) Der Wert eines Erbbaurechts beträgt 80 Prozent der Summe aus den Werten des belasteten Grundstücks und darauf errichteter Bauwerke; sofern die Ausübung des Rechts auf eine Teilfläche beschränkt ist, sind 80 Prozent vom Wert dieser Teilfläche zugrunde zu legen.</w:t>
      </w:r>
    </w:p>
    <w:p>
      <w:r>
        <w:rPr>
          <w:color w:val="555555"/>
          <w:sz w:val="17"/>
        </w:rPr>
        <w:t xml:space="preserve">Zitiervorschlag: § 49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