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45 GNotKG — Rangverhältnisse und Vormerkungen</w:t>
      </w:r>
    </w:p>
    <w:p>
      <w:r>
        <w:rPr>
          <w:color w:val="555555"/>
          <w:sz w:val="18"/>
        </w:rPr>
        <w:t xml:space="preserve">Gerichts- und Notarkostengesetz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Einräumung des Vorrangs oder des gleichen Rangs ist Geschäftswert der Wert des vortretenden Rechts, höchstens jedoch der Wert des zurücktretenden Rechts.</w:t>
      </w:r>
    </w:p>
    <w:p>
      <w:r>
        <w:t xml:space="preserve">(2) Die Vormerkung gemäß § 1179 des Bürgerlichen Gesetzbuchs zugunsten eines nach- oder gleichstehenden Berechtigten steht der Vorrangseinräumung gleich. Dasselbe gilt für den Fall, dass ein nachrangiges Recht gegenüber einer vorrangigen Vormerkung wirksam sein soll. Der Ausschluss des Löschungsanspruchs nach § 1179a Absatz 5 des Bürgerlichen Gesetzbuchs, auch in Verbindung mit § 1179b Absatz 2 des Bürgerlichen Gesetzbuchs, ist wie ein Rangrücktritt des Rechts zu behandeln, als dessen Inhalt der Ausschluss vereinbart wird.</w:t>
      </w:r>
    </w:p>
    <w:p>
      <w:r>
        <w:t xml:space="preserve">(3) Geschäftswert einer sonstigen Vormerkung ist der Wert des vorgemerkten Rechts; § 51 Absatz 1 Satz 2 ist entsprechend anzuwenden.</w:t>
      </w:r>
    </w:p>
    <w:p>
      <w:r>
        <w:rPr>
          <w:color w:val="555555"/>
          <w:sz w:val="17"/>
        </w:rPr>
        <w:t xml:space="preserve">Zitiervorschlag: § 45 GNotKG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https://recht.nulegal.eu/gesetze/GNotKG/45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