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GNotKG — Mithaft</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Bei der Einbeziehung eines Grundstücks in die Mithaft wegen eines Grundpfandrechts und bei der Entlassung aus der Mithaft bestimmt sich der Geschäftswert nach dem Wert des einbezogenen oder entlassenen Grundstücks, wenn dieser geringer als der Wert nach § 53 Absatz 1 ist. Die Löschung eines Grundpfandrechts, bei dem bereits zumindest ein Grundstück aus der Mithaft entlassen worden ist, steht hinsichtlich der Geschäftswertbestimmung der Entlassung aus der Mithaft gleich.</w:t>
      </w:r>
    </w:p>
    <w:p>
      <w:r>
        <w:t xml:space="preserve">(2) Absatz 1 gilt entsprechend für grundstücksgleiche Rechte.</w:t>
      </w:r>
    </w:p>
    <w:p>
      <w:r>
        <w:t xml:space="preserve">(3) Absatz 1 gilt ferner entsprechend</w:t>
      </w:r>
    </w:p>
    <w:p>
      <w:pPr>
        <w:ind w:left="420"/>
      </w:pPr>
      <w:r>
        <w:t xml:space="preserve">1. für Schiffshypotheken mit der Maßgabe, dass an die Stelle des Grundstücks das Schiff oder das Schiffsbauwerk tritt, und</w:t>
      </w:r>
    </w:p>
    <w:p>
      <w:pPr>
        <w:ind w:left="420"/>
      </w:pPr>
      <w:r>
        <w:t xml:space="preserve">2. für Registerpfandrechte an einem Luftfahrzeug mit der Maßgabe, dass an die Stelle des Grundstücks das Luftfahrzeug tritt.</w:t>
      </w:r>
    </w:p>
    <w:p>
      <w:r>
        <w:rPr>
          <w:color w:val="555555"/>
          <w:sz w:val="17"/>
        </w:rPr>
        <w:t xml:space="preserve">Zitiervorschlag: § 44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