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GNotKG — Wohnungs- und Teileigentum</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Bei der Begründung von Wohnungs- oder Teileigentum und bei Geschäften, die die Aufhebung oder das Erlöschen von Sondereigentum betreffen, ist Geschäftswert der Wert des bebauten Grundstücks. Ist das Grundstück noch nicht bebaut, ist dem Grundstückswert der Wert des zu errichtenden Bauwerks hinzuzurechnen.</w:t>
      </w:r>
    </w:p>
    <w:p>
      <w:r>
        <w:t xml:space="preserve">(2) Bei Wohnungs- und Teilerbbaurechten gilt Absatz 1 entsprechend, wobei an die Stelle des Grundstückswerts der Wert des Erbbaurechts tritt.</w:t>
      </w:r>
    </w:p>
    <w:p>
      <w:r>
        <w:rPr>
          <w:color w:val="555555"/>
          <w:sz w:val="17"/>
        </w:rPr>
        <w:t xml:space="preserve">Zitiervorschlag: § 42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