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GNotKG — Erbschein, Europäisches Nachlasszeugnis, Zeugnis über die Fortsetzung der Gütergemeinschaft und Testamentsvollstreckerzeugnis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Geschäftswert für das Verfahren zur</w:t>
      </w:r>
    </w:p>
    <w:p>
      <w:pPr>
        <w:ind w:left="420"/>
      </w:pPr>
      <w:r>
        <w:t xml:space="preserve">1. Abnahme der eidesstattlichen Versicherung zur Erlangung eines Erbscheins oder eines Europäischen Nachlasszeugnisses,</w:t>
      </w:r>
    </w:p>
    <w:p>
      <w:pPr>
        <w:ind w:left="420"/>
      </w:pPr>
      <w:r>
        <w:t xml:space="preserve">2. Erteilung eines Erbscheins oder Ausstellung eines Europäischen Nachlasszeugnisses, soweit dieses die Rechtsstellung und die Rechte der Erben oder Vermächtnisnehmer mit unmittelbarer Berechtigung am Nachlass betrifft,</w:t>
      </w:r>
    </w:p>
    <w:p>
      <w:pPr>
        <w:ind w:left="420"/>
      </w:pPr>
      <w:r>
        <w:t xml:space="preserve">3. Einziehung oder Kraftloserklärung eines Erbscheins,</w:t>
      </w:r>
    </w:p>
    <w:p>
      <w:pPr>
        <w:ind w:left="420"/>
      </w:pPr>
      <w:r>
        <w:t xml:space="preserve">4. Änderung oder zum Widerruf eines Europäischen Nachlasszeugnisses, soweit die Rechtsstellung und Rechte der Erben oder Vermächtnisnehmer mit unmittelbarer Berechtigung am Nachlass betroffen sind,</w:t>
      </w:r>
    </w:p>
    <w:p>
      <w:r>
        <w:t xml:space="preserve">ist der Wert des Nachlasses im Zeitpunkt des Erbfalls. Vom Erblasser herrührende Verbindlichkeiten werden abgezogen. Ist in dem Erbschein lediglich die Hoferbfolge zu bescheinigen, ist Geschäftswert der Wert des Hofs. Abweichend von Satz 2 werden nur die auf dem Hof lastenden Verbindlichkeiten mit Ausnahme der Hypotheken, Grund- und Rentenschulden (§ 15 Absatz 2 der Höfeordnung) abgezogen.</w:t>
      </w:r>
    </w:p>
    <w:p>
      <w:r>
        <w:t xml:space="preserve">(2) Beziehen sich die in Absatz 1 genannten Verfahren nur auf das Erbrecht eines Miterben, bestimmt sich der Geschäftswert nach dem Anteil dieses Miterben. Entsprechendes gilt, wenn ein weiterer Miterbe einer bereits beurkundeten eidesstattlichen Versicherung beitritt.</w:t>
      </w:r>
    </w:p>
    <w:p>
      <w:r>
        <w:t xml:space="preserve">(3) Erstrecken sich die Wirkungen eines Erbscheins nur auf einen Teil des Nachlasses, bleiben diejenigen Gegenstände, die von der Erbscheinswirkung nicht erfasst werden, bei der Berechnung des Geschäftswerts außer Betracht; Nachlassverbindlichkeiten werden nicht abgezogen. Macht der Kostenschuldner glaubhaft, dass der Geschäftswert nach Absatz 1 niedriger ist, so ist dieser maßgebend. Die Sätze 1 und 2 finden auf die Ausstellung, die Änderung und den Widerruf eines Europäischen Nachlasszeugnisses entsprechende Anwendung.</w:t>
      </w:r>
    </w:p>
    <w:p>
      <w:r>
        <w:t xml:space="preserve">(4) Auf ein Verfahren, das ein Zeugnis über die Fortsetzung der Gütergemeinschaft betrifft, sind die Absätze 1 bis 3 entsprechend anzuwenden; an die Stelle des Nachlasses tritt der halbe Wert des Gesamtguts der fortgesetzten Gütergemeinschaft.</w:t>
      </w:r>
    </w:p>
    <w:p>
      <w:r>
        <w:t xml:space="preserve">(5) In einem Verfahren, das ein Zeugnis über die Ernennung eines Testamentsvollstreckers betrifft, beträgt der Geschäftswert 20 Prozent des Nachlasswerts im Zeitpunkt des Erbfalls, wobei Nachlassverbindlichkeiten nicht abgezogen werden; die Absätze 2 und 3 sind entsprechend anzuwenden. Dies gilt entsprechend, soweit die Angabe der Befugnisse des Testamentsvollstreckers Gegenstand eines Verfahrens wegen eines Europäischen Nachlasszeugnisses ist.</w:t>
      </w:r>
    </w:p>
    <w:p>
      <w:r>
        <w:t xml:space="preserve">(6) Bei der Ermittlung des Werts und der Zusammensetzung des Nachlasses steht § 30 der Abgabenordnung einer Auskunft des Finanzamts nicht entgegen.</w:t>
      </w:r>
    </w:p>
    <w:p>
      <w:r>
        <w:rPr>
          <w:color w:val="555555"/>
          <w:sz w:val="17"/>
        </w:rPr>
        <w:t xml:space="preserve">Zitiervorschlag: § 40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