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GNotKG — Grundsatz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demselben Verfahren und in demselben Rechtszug werden die Werte mehrerer Verfahrensgegenstände zusammengerechnet, soweit nichts anderes bestimmt ist.</w:t>
      </w:r>
    </w:p>
    <w:p>
      <w:r>
        <w:t xml:space="preserve">(2) Der Geschäftswert beträgt, wenn die Tabelle A anzuwenden ist, höchstens 30 Millionen Euro, wenn die Tabelle B anzuwenden ist, höchstens 60 Millionen Euro, wenn kein niedrigerer Höchstwert bestimmt ist.</w:t>
      </w:r>
    </w:p>
    <w:p>
      <w:r>
        <w:rPr>
          <w:color w:val="555555"/>
          <w:sz w:val="17"/>
        </w:rPr>
        <w:t xml:space="preserve">Zitiervorschlag: § 35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