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GNotKG — Mehrere Kostenschuldner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Mehrere Kostenschuldner haften als Gesamtschuldner.</w:t>
      </w:r>
    </w:p>
    <w:p>
      <w:r>
        <w:t xml:space="preserve">(2) Sind durch besondere Anträge eines Beteiligten Mehrkosten entstanden, so fallen diese ihm allein zur Last.</w:t>
      </w:r>
    </w:p>
    <w:p>
      <w:r>
        <w:rPr>
          <w:color w:val="555555"/>
          <w:sz w:val="17"/>
        </w:rPr>
        <w:t xml:space="preserve">Zitiervorschlag: § 32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