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GNotKG — Besonderer Kostenschuldner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Schuldner der Kosten, die für die Beurkundung des Zuschlags bei der freiwilligen Versteigerung eines Grundstücks oder grundstücksgleichen Rechts anfallen, ist vorbehaltlich des § 29 Nummer 3 nur der Ersteher.</w:t>
      </w:r>
    </w:p>
    <w:p>
      <w:r>
        <w:t xml:space="preserve">(2) Für die Kosten, die durch die Errichtung eines Nachlassinventars und durch Tätigkeiten zur Nachlasssicherung entstehen, haften nur die Erben, und zwar nach den Vorschriften des Bürgerlichen Gesetzbuchs über Nachlassverbindlichkeiten.</w:t>
      </w:r>
    </w:p>
    <w:p>
      <w:r>
        <w:t xml:space="preserve">(3) Schuldner der Kosten der Auseinandersetzung eines Nachlasses oder des Gesamtguts nach Beendigung der ehelichen, lebenspartnerschaftlichen oder fortgesetzten Gütergemeinschaft sind die Anteilsberechtigten; dies gilt nicht, soweit der Antrag zurückgenommen oder zurückgewiesen wurde. Ferner sind die für das Amtsgericht geltenden Vorschriften über die Kostenhaftung entsprechend anzuwenden.</w:t>
      </w:r>
    </w:p>
    <w:p>
      <w:r>
        <w:rPr>
          <w:color w:val="555555"/>
          <w:sz w:val="17"/>
        </w:rPr>
        <w:t xml:space="preserve">Zitiervorschlag: § 31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