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GNotKG — Haftung der Urkundsbeteiligten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Die Kosten des Beurkundungsverfahrens und die im Zusammenhang mit dem Beurkundungsverfahren anfallenden Kosten des Vollzugs und der Betreuungstätigkeiten schuldet ferner jeder, dessen Erklärung beurkundet worden ist.</w:t>
      </w:r>
    </w:p>
    <w:p>
      <w:r>
        <w:t xml:space="preserve">(2) Werden im Beurkundungsverfahren die Erklärungen mehrerer Beteiligter beurkundet und betreffen die Erklärungen verschiedene Rechtsverhältnisse, beschränkt sich die Haftung des Einzelnen auf die Kosten, die entstanden wären, wenn die übrigen Erklärungen nicht beurkundet worden wären.</w:t>
      </w:r>
    </w:p>
    <w:p>
      <w:r>
        <w:t xml:space="preserve">(3) Derjenige, der in einer notariellen Urkunde die Kosten dieses Beurkundungsverfahrens, die im Zusammenhang mit dem Beurkundungsverfahren anfallenden Kosten des Vollzugs und der Betreuungstätigkeiten oder sämtliche genannten Kosten übernommen hat, haftet insoweit auch gegenüber dem Notar.</w:t>
      </w:r>
    </w:p>
    <w:p>
      <w:r>
        <w:rPr>
          <w:color w:val="555555"/>
          <w:sz w:val="17"/>
        </w:rPr>
        <w:t xml:space="preserve">Zitiervorschlag: § 30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