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GNotKG — Kostenschuldner im Allgemeinen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Notarkosten schuldet, wer</w:t>
      </w:r>
    </w:p>
    <w:p>
      <w:pPr>
        <w:ind w:left="420"/>
      </w:pPr>
      <w:r>
        <w:t xml:space="preserve">1. den Auftrag erteilt oder den Antrag gestellt hat,</w:t>
      </w:r>
    </w:p>
    <w:p>
      <w:pPr>
        <w:ind w:left="420"/>
      </w:pPr>
      <w:r>
        <w:t xml:space="preserve">2. die Kostenschuld gegenüber dem Notar übernommen hat oder</w:t>
      </w:r>
    </w:p>
    <w:p>
      <w:pPr>
        <w:ind w:left="420"/>
      </w:pPr>
      <w:r>
        <w:t xml:space="preserve">3. für die Kostenschuld eines anderen kraft Gesetzes haftet.</w:t>
      </w:r>
    </w:p>
    <w:p>
      <w:r>
        <w:rPr>
          <w:color w:val="555555"/>
          <w:sz w:val="17"/>
        </w:rPr>
        <w:t xml:space="preserve">Zitiervorschlag: § 29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