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GNotKG — Kostenschuldner in bestimmten gerichtlichen Verfahren</w:t>
      </w:r>
    </w:p>
    <w:p>
      <w:r>
        <w:rPr>
          <w:color w:val="555555"/>
          <w:sz w:val="18"/>
        </w:rPr>
        <w:t xml:space="preserve">Gerichts- und Notarkostengesetz</w:t>
      </w:r>
    </w:p>
    <w:p>
      <w:r>
        <w:rPr>
          <w:color w:val="555555"/>
          <w:sz w:val="18"/>
        </w:rPr>
        <w:t xml:space="preserve">Stand: 01.01.2024 (konsolidierte Textfassung, kein amtliches Inkrafttretensdatum)</w:t>
      </w:r>
    </w:p>
    <w:p>
      <w:r>
        <w:t xml:space="preserve">Kostenschuldner</w:t>
      </w:r>
    </w:p>
    <w:p>
      <w:pPr>
        <w:ind w:left="420"/>
      </w:pPr>
      <w:r>
        <w:t xml:space="preserve">1. in Betreuungssachen und betreuungsgerichtlichen Zuweisungssachen ist der Betroffene, wenn ein Betreuer oder vorläufiger Betreuer bestellt oder eine Pflegschaft angeordnet worden ist;</w:t>
      </w:r>
    </w:p>
    <w:p>
      <w:pPr>
        <w:ind w:left="420"/>
      </w:pPr>
      <w:r>
        <w:t xml:space="preserve">2. bei einer Pflegschaft für gesammeltes Vermögen ist der Pfleger, jedoch nur mit dem gesammelten Vermögen;</w:t>
      </w:r>
    </w:p>
    <w:p>
      <w:pPr>
        <w:ind w:left="420"/>
      </w:pPr>
      <w:r>
        <w:t xml:space="preserve">3. für die Gebühr für die Entgegennahme von Forderungsanmeldungen im Fall des § 2061 des Bürgerlichen Gesetzbuchs ist derjenige Miterbe, der die Aufforderung erlassen hat;</w:t>
      </w:r>
    </w:p>
    <w:p>
      <w:pPr>
        <w:ind w:left="420"/>
      </w:pPr>
      <w:r>
        <w:t xml:space="preserve">4. für die Gebühr für die Entgegennahme</w:t>
      </w:r>
    </w:p>
    <w:p>
      <w:pPr>
        <w:ind w:left="780"/>
      </w:pPr>
      <w:r>
        <w:t xml:space="preserve">a) einer Erklärung über die Anfechtung eines Testaments oder Erbvertrags,</w:t>
      </w:r>
    </w:p>
    <w:p>
      <w:pPr>
        <w:ind w:left="780"/>
      </w:pPr>
      <w:r>
        <w:t xml:space="preserve">b) einer Anzeige des Vorerben oder des Nacherben über den Eintritt der Nacherbfolge,</w:t>
      </w:r>
    </w:p>
    <w:p>
      <w:pPr>
        <w:ind w:left="780"/>
      </w:pPr>
      <w:r>
        <w:t xml:space="preserve">c) einer Anzeige des Verkäufers oder Käufers einer Erbschaft über den Verkauf, auch in den Fällen des § 2385 des Bürgerlichen Gesetzbuchs,</w:t>
      </w:r>
    </w:p>
    <w:p>
      <w:pPr>
        <w:ind w:left="780"/>
      </w:pPr>
      <w:r>
        <w:t xml:space="preserve">d) eines Nachlassinventars oder einer Erklärung nach § 2004 des Bürgerlichen Gesetzbuchs oder</w:t>
      </w:r>
    </w:p>
    <w:p>
      <w:pPr>
        <w:ind w:left="780"/>
      </w:pPr>
      <w:r>
        <w:t xml:space="preserve">e) der Erklärung eines Hoferben über die Wahl des Hofes gemäß § 9 Absatz 2 Satz 1 der Höfeordnung</w:t>
      </w:r>
    </w:p>
    <w:p>
      <w:pPr>
        <w:ind w:left="420"/>
      </w:pPr>
      <w:r>
        <w:t xml:space="preserve">ist derjenige, der die Erklärung, die Anzeige oder das Nachlassinventar abgegeben hat;</w:t>
      </w:r>
    </w:p>
    <w:p>
      <w:pPr>
        <w:ind w:left="420"/>
      </w:pPr>
      <w:r>
        <w:t xml:space="preserve">5. (weggefallen)</w:t>
      </w:r>
    </w:p>
    <w:p>
      <w:pPr>
        <w:ind w:left="420"/>
      </w:pPr>
      <w:r>
        <w:t xml:space="preserve">6. (weggefallen)</w:t>
      </w:r>
    </w:p>
    <w:p>
      <w:pPr>
        <w:ind w:left="420"/>
      </w:pPr>
      <w:r>
        <w:t xml:space="preserve">7. in Handels-, Genossenschafts-, Gesellschafts-, Partnerschafts- und Vereinsregistersachen bei Verfahren, die von Amts wegen durchgeführt werden, und bei Eintragungen, die von Amts wegen erfolgen, ist die Handelsgesellschaft oder der Kaufmann, die Gesellschaft bürgerlichen Rechts, die Genossenschaft, die Partnerschaft oder der Verein;</w:t>
      </w:r>
    </w:p>
    <w:p>
      <w:pPr>
        <w:ind w:left="420"/>
      </w:pPr>
      <w:r>
        <w:t xml:space="preserve">8. für die Gebühr für die Entgegennahme, Prüfung und Aufbewahrung der zum Handels- oder Genossenschaftsregister einzureichenden Unterlagen ist das Unternehmen, für das die Unterlagen eingereicht werden;</w:t>
      </w:r>
    </w:p>
    <w:p>
      <w:pPr>
        <w:ind w:left="420"/>
      </w:pPr>
      <w:r>
        <w:t xml:space="preserve">9. im Verfahren zum Zweck der Verhandlung über die Dispache, soweit das Verfahren mit der Bestätigung der Dispache endet, sind die an dem Verfahren Beteiligten;</w:t>
      </w:r>
    </w:p>
    <w:p>
      <w:pPr>
        <w:ind w:left="420"/>
      </w:pPr>
      <w:r>
        <w:t xml:space="preserve">10. im Verfahren über die gerichtliche Entscheidung über die Zusammensetzung des Aufsichtsrats, das sich nach den §§ 98 und 99 des Aktiengesetzes richtet, ist die Gesellschaft, soweit die Kosten nicht dem Antragsteller auferlegt sind;</w:t>
      </w:r>
    </w:p>
    <w:p>
      <w:pPr>
        <w:ind w:left="420"/>
      </w:pPr>
      <w:r>
        <w:t xml:space="preserve">11. im Verfahren über die Eintragung als Eigentümer im Wege der Grundbuchberichtigung von Amts wegen aufgrund des § 82a der Grundbuchordnung ist der Eigentümer;</w:t>
      </w:r>
    </w:p>
    <w:p>
      <w:pPr>
        <w:ind w:left="420"/>
      </w:pPr>
      <w:r>
        <w:t xml:space="preserve">12. für die Eintragung des Erstehers als Eigentümer ist nur dieser;</w:t>
      </w:r>
    </w:p>
    <w:p>
      <w:pPr>
        <w:ind w:left="420"/>
      </w:pPr>
      <w:r>
        <w:t xml:space="preserve">13. für die Eintragung der Sicherungshypothek für Forderungen gegen den Ersteher sind der Gläubiger und der Ersteher;</w:t>
      </w:r>
    </w:p>
    <w:p>
      <w:pPr>
        <w:ind w:left="420"/>
      </w:pPr>
      <w:r>
        <w:t xml:space="preserve">14. im Verfahren nach dem Spruchverfahrensgesetz ist nur der Antragsgegner, soweit das Gericht die Kosten den Antragstellern auferlegt hat, auch diese und</w:t>
      </w:r>
    </w:p>
    <w:p>
      <w:pPr>
        <w:ind w:left="420"/>
      </w:pPr>
      <w:r>
        <w:t xml:space="preserve">15. in Freiheitsentziehungssachen sind nur der Betroffene sowie im Rahmen ihrer gesetzlichen Unterhaltspflicht die zu seinem Unterhalt Verpflichteten, wenn die Kosten nicht der Verwaltungsbehörde auferlegt sind.</w:t>
      </w:r>
    </w:p>
    <w:p>
      <w:r>
        <w:rPr>
          <w:color w:val="555555"/>
          <w:sz w:val="17"/>
        </w:rPr>
        <w:t xml:space="preserve">Zitiervorschlag: § 23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