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GNotKG — Einforderung der Notarkosten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(1) Der Notar kann seine Kosten nur aufgrund einer von ihm oder auf seine Veranlassung dem Kostenschuldner mitgeteilten Berechnung fordern; die Berechnung bedarf der Textform. Der Lauf der Verjährungsfrist ist nicht von der Mitteilung der Berechnung abhängig.</w:t>
      </w:r>
    </w:p>
    <w:p>
      <w:r>
        <w:t xml:space="preserve">(2) Die Berechnung muss enthalten</w:t>
      </w:r>
    </w:p>
    <w:p>
      <w:pPr>
        <w:ind w:left="420"/>
      </w:pPr>
      <w:r>
        <w:t xml:space="preserve">1. eine Bezeichnung des Verfahrens oder Geschäfts,</w:t>
      </w:r>
    </w:p>
    <w:p>
      <w:pPr>
        <w:ind w:left="420"/>
      </w:pPr>
      <w:r>
        <w:t xml:space="preserve">2. die angewandten Nummern des Kostenverzeichnisses,</w:t>
      </w:r>
    </w:p>
    <w:p>
      <w:pPr>
        <w:ind w:left="420"/>
      </w:pPr>
      <w:r>
        <w:t xml:space="preserve">3. den Geschäftswert bei Gebühren, die nach dem Geschäftswert berechnet sind,</w:t>
      </w:r>
    </w:p>
    <w:p>
      <w:pPr>
        <w:ind w:left="420"/>
      </w:pPr>
      <w:r>
        <w:t xml:space="preserve">4. die Beträge der einzelnen Gebühren und Auslagen, wobei bei den jeweiligen Dokumentenpauschalen (Nummern 32000 bis 32003) und bei den Entgelten für Post- und Telekommunikationsdienstleistungen (Nummer 32004) die Angabe des Gesamtbetrags genügt, und</w:t>
      </w:r>
    </w:p>
    <w:p>
      <w:pPr>
        <w:ind w:left="420"/>
      </w:pPr>
      <w:r>
        <w:t xml:space="preserve">5. die gezahlten Vorschüsse.</w:t>
      </w:r>
    </w:p>
    <w:p>
      <w:r>
        <w:t xml:space="preserve">(3) Die Berechnung soll enthalten</w:t>
      </w:r>
    </w:p>
    <w:p>
      <w:pPr>
        <w:ind w:left="420"/>
      </w:pPr>
      <w:r>
        <w:t xml:space="preserve">1. eine kurze Bezeichnung des jeweiligen Gebührentatbestands und der Auslagen,</w:t>
      </w:r>
    </w:p>
    <w:p>
      <w:pPr>
        <w:ind w:left="420"/>
      </w:pPr>
      <w:r>
        <w:t xml:space="preserve">2. die Wertvorschriften der §§ 36, 40 bis 54, 97 bis 108, 112 bis 124, aus denen sich der Geschäftswert für die jeweilige Gebühr ergibt, und</w:t>
      </w:r>
    </w:p>
    <w:p>
      <w:pPr>
        <w:ind w:left="420"/>
      </w:pPr>
      <w:r>
        <w:t xml:space="preserve">3. die Werte der einzelnen Gegenstände, wenn sich der Geschäftswert aus der Summe der Werte mehrerer Verfahrensgegenstände ergibt (§ 35 Absatz 1).</w:t>
      </w:r>
    </w:p>
    <w:p>
      <w:r>
        <w:t xml:space="preserve">(4) Eine Berechnung ist nur unwirksam, wenn sie nicht den Vorschriften der Absätze 1 und 2 entspricht.</w:t>
      </w:r>
    </w:p>
    <w:p>
      <w:r>
        <w:t xml:space="preserve">(5) Wird eine Berechnung durch gerichtliche Entscheidung aufgehoben, weil sie nicht den Vorschriften des Absatzes 3 entspricht, bleibt ein bereits eingetretener Neubeginn der Verjährung unberührt.</w:t>
      </w:r>
    </w:p>
    <w:p>
      <w:r>
        <w:t xml:space="preserve">(6) Der Notar hat eine Kopie oder einen Ausdruck der Berechnung zu seinen Akten zu nehmen oder die Berechnung elektronisch aufzubewahren.</w:t>
      </w:r>
    </w:p>
    <w:p>
      <w:r>
        <w:rPr>
          <w:color w:val="555555"/>
          <w:sz w:val="17"/>
        </w:rPr>
        <w:t xml:space="preserve">Zitiervorschlag: § 19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