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GNotKG — Ausnahmen von der Abhängigmachung</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Die beantragte Handlung darf nicht von der Sicherstellung oder Zahlung der Kosten abhängig gemacht werden,</w:t>
      </w:r>
    </w:p>
    <w:p>
      <w:pPr>
        <w:ind w:left="420"/>
      </w:pPr>
      <w:r>
        <w:t xml:space="preserve">1. soweit dem Antragsteller Verfahrenskostenhilfe bewilligt ist oder im Fall des § 17 Absatz 2 der Bundesnotarordnung der Notar die Urkundstätigkeit vorläufig gebührenfrei oder gegen Zahlung der Gebühren in Monatsraten zu gewähren hat,</w:t>
      </w:r>
    </w:p>
    <w:p>
      <w:pPr>
        <w:ind w:left="420"/>
      </w:pPr>
      <w:r>
        <w:t xml:space="preserve">2. wenn dem Antragsteller Gebührenfreiheit zusteht,</w:t>
      </w:r>
    </w:p>
    <w:p>
      <w:pPr>
        <w:ind w:left="420"/>
      </w:pPr>
      <w:r>
        <w:t xml:space="preserve">3. wenn ein Notar erklärt hat, dass er für die Kostenschuld des Antragstellers die persönliche Haftung übernimmt,</w:t>
      </w:r>
    </w:p>
    <w:p>
      <w:pPr>
        <w:ind w:left="420"/>
      </w:pPr>
      <w:r>
        <w:t xml:space="preserve">4. wenn die Tätigkeit weder aussichtslos noch ihre Inanspruchnahme mutwillig erscheint und wenn glaubhaft gemacht wird, dass</w:t>
      </w:r>
    </w:p>
    <w:p>
      <w:pPr>
        <w:ind w:left="780"/>
      </w:pPr>
      <w:r>
        <w:t xml:space="preserve">a) dem Antragsteller die alsbaldige Zahlung der Kosten mit Rücksicht auf seine Vermögenslage oder aus sonstigen Gründen Schwierigkeiten bereiten würde oder</w:t>
      </w:r>
    </w:p>
    <w:p>
      <w:pPr>
        <w:ind w:left="780"/>
      </w:pPr>
      <w:r>
        <w:t xml:space="preserve">b) eine Verzögerung dem Antragsteller einen nicht oder nur schwer zu ersetzenden Schaden bringen würde; zur Glaubhaftmachung genügt in diesem Fall die Erklärung des zum Bevollmächtigten bestellten Rechtsanwalts,</w:t>
      </w:r>
    </w:p>
    <w:p>
      <w:pPr>
        <w:ind w:left="420"/>
      </w:pPr>
      <w:r>
        <w:t xml:space="preserve">5. wenn aus einem anderen Grund das Verlangen nach vorheriger Zahlung oder Sicherstellung der Kosten nicht angebracht erscheint, insbesondere wenn die Berichtigung des Grundbuchs oder die Eintragung eines Widerspruchs beantragt wird oder die Rechte anderer Beteiligter beeinträchtigt werden.</w:t>
      </w:r>
    </w:p>
    <w:p>
      <w:r>
        <w:rPr>
          <w:color w:val="555555"/>
          <w:sz w:val="17"/>
        </w:rPr>
        <w:t xml:space="preserve">Zitiervorschlag: § 16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