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GNotKG — Abhängigmachung bei Notarkosten</w:t>
      </w:r>
    </w:p>
    <w:p>
      <w:r>
        <w:rPr>
          <w:color w:val="555555"/>
          <w:sz w:val="18"/>
        </w:rPr>
        <w:t xml:space="preserve">Gerichts- und Notarkostengesetz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Tätigkeit des Notars kann von der Zahlung eines zur Deckung der Kosten ausreichenden Vorschusses abhängig gemacht werden.</w:t>
      </w:r>
    </w:p>
    <w:p>
      <w:r>
        <w:rPr>
          <w:color w:val="555555"/>
          <w:sz w:val="17"/>
        </w:rPr>
        <w:t xml:space="preserve">Zitiervorschlag: § 15 GNotKG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https://recht.nulegal.eu/gesetze/GNotKG/15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