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134 GNotKG — Übergangsvorschrift</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In gerichtlichen Verfahren, die vor dem Inkrafttreten einer Gesetzesänderung anhängig geworden oder eingeleitet worden sind, werden die Kosten nach bisherigem Recht erhoben. Dies gilt nicht im Verfahren über ein Rechtsmittel, das nach dem Inkrafttreten einer Gesetzesänderung eingelegt worden ist. Die Sätze 1 und 2 gelten auch, wenn Vorschriften geändert werden, auf die dieses Gesetz verweist. In Verfahren, in denen Jahresgebühren erhoben werden, und in Fällen, in denen die Sätze 1 und 2 keine Anwendung finden, gilt für Kosten, die vor dem Inkrafttreten einer Gesetzesänderung fällig geworden sind, das bisherige Recht.</w:t>
      </w:r>
    </w:p>
    <w:p>
      <w:r>
        <w:t xml:space="preserve">(2) Für notarielle Verfahren oder Geschäfte, für die ein Auftrag vor dem Inkrafttreten einer Gesetzesänderung erteilt worden ist, werden die Kosten nach bisherigem Recht erhoben.</w:t>
      </w:r>
    </w:p>
    <w:p>
      <w:r>
        <w:rPr>
          <w:color w:val="555555"/>
          <w:sz w:val="17"/>
        </w:rPr>
        <w:t xml:space="preserve">Zitiervorschlag: § 134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