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GNotKG — Antrag auf gerichtliche Entscheidung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Gegen die Kostenberechnung (§ 19), einschließlich der Verzinsungspflicht (§ 88), gegen die Zahlungspflicht, die Ausübung des Zurückbehaltungsrechts (§ 11) und die Erteilung der Vollstreckungsklausel kann die Entscheidung des Landgerichts, in dessen Bezirk der Notar den Amtssitz hat, beantragt werden. Antragsberechtigt ist der Kostenschuldner und, wenn der Kostenschuldner dem Notar gegenüber die Kostenberechnung beanstandet, auch der Notar.</w:t>
      </w:r>
    </w:p>
    <w:p>
      <w:r>
        <w:t xml:space="preserve">(2) Nach Ablauf des Kalenderjahres, das auf das Jahr folgt, in dem die vollstreckbare Ausfertigung der Kostenberechnung zugestellt ist, können neue Anträge nach Absatz 1 nicht mehr gestellt werden. Soweit die Einwendungen gegen den Kostenanspruch auf Gründen beruhen, die nach der Zustellung der vollstreckbaren Ausfertigung entstanden sind, können sie auch nach Ablauf dieser Frist geltend gemacht werden.</w:t>
      </w:r>
    </w:p>
    <w:p>
      <w:r>
        <w:rPr>
          <w:color w:val="555555"/>
          <w:sz w:val="17"/>
        </w:rPr>
        <w:t xml:space="preserve">Zitiervorschlag: § 127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