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GNotKG — Betreuungstätigkeiten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Geschäftswert für die Betreuungsgebühr ist wie bei der Beurkundung zu bestimmen.</w:t>
      </w:r>
    </w:p>
    <w:p>
      <w:r>
        <w:t xml:space="preserve">(2) Der Geschäftswert für die Treuhandgebühr ist der Wert des Sicherungsinteresses.</w:t>
      </w:r>
    </w:p>
    <w:p>
      <w:r>
        <w:rPr>
          <w:color w:val="555555"/>
          <w:sz w:val="17"/>
        </w:rPr>
        <w:t xml:space="preserve">Zitiervorschlag: § 113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