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GNotKG — Besondere Beurkundungsgegenstände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besonderer Beurkundungsgegenstand gelten stets</w:t>
      </w:r>
    </w:p>
    <w:p>
      <w:pPr>
        <w:ind w:left="420"/>
      </w:pPr>
      <w:r>
        <w:t xml:space="preserve">1. vorbehaltlich der Regelung in § 109 Absatz 2 Nummer 2 eine Verfügung von Todes wegen,</w:t>
      </w:r>
    </w:p>
    <w:p>
      <w:pPr>
        <w:ind w:left="420"/>
      </w:pPr>
      <w:r>
        <w:t xml:space="preserve">2. ein Ehevertrag im Sinne von § 1408 Absatz 1 des Bürgerlichen Gesetzbuchs,</w:t>
      </w:r>
    </w:p>
    <w:p>
      <w:pPr>
        <w:ind w:left="420"/>
      </w:pPr>
      <w:r>
        <w:t xml:space="preserve">3. eine Anmeldung zu einem Register und</w:t>
      </w:r>
    </w:p>
    <w:p>
      <w:pPr>
        <w:ind w:left="420"/>
      </w:pPr>
      <w:r>
        <w:t xml:space="preserve">4. eine Rechtswahl nach dem internationalen Privatrecht.</w:t>
      </w:r>
    </w:p>
    <w:p>
      <w:r>
        <w:rPr>
          <w:color w:val="555555"/>
          <w:sz w:val="17"/>
        </w:rPr>
        <w:t xml:space="preserve">Zitiervorschlag: § 111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