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GNotKG — Verschiedene Beurkundungsgegenstände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109 Absatz 1 sind verschiedene Beurkundungsgegenstände</w:t>
      </w:r>
    </w:p>
    <w:p>
      <w:pPr>
        <w:ind w:left="420"/>
      </w:pPr>
      <w:r>
        <w:t xml:space="preserve">1. Beschlüsse von Organen einer Vereinigung oder Stiftung und Erklärungen,</w:t>
      </w:r>
    </w:p>
    <w:p>
      <w:pPr>
        <w:ind w:left="420"/>
      </w:pPr>
      <w:r>
        <w:t xml:space="preserve">2. ein Veräußerungsvertrag und</w:t>
      </w:r>
    </w:p>
    <w:p>
      <w:pPr>
        <w:ind w:left="780"/>
      </w:pPr>
      <w:r>
        <w:t xml:space="preserve">a) Erklärungen zur Finanzierung der Gegenleistung gegenüber Dritten,</w:t>
      </w:r>
    </w:p>
    <w:p>
      <w:pPr>
        <w:ind w:left="780"/>
      </w:pPr>
      <w:r>
        <w:t xml:space="preserve">b) Erklärungen zur Bestellung von subjektiv-dinglichen Rechten sowie</w:t>
      </w:r>
    </w:p>
    <w:p>
      <w:pPr>
        <w:ind w:left="780"/>
      </w:pPr>
      <w:r>
        <w:t xml:space="preserve">c) ein Verzicht auf Steuerbefreiungen gemäß § 9 Absatz 1 des Umsatzsteuergesetzes sowie</w:t>
      </w:r>
    </w:p>
    <w:p>
      <w:pPr>
        <w:ind w:left="420"/>
      </w:pPr>
      <w:r>
        <w:t xml:space="preserve">3. Erklärungen gemäß § 109 Absatz 2 Satz 1 Nummer 1 und Vollmachten.</w:t>
      </w:r>
    </w:p>
    <w:p>
      <w:r>
        <w:rPr>
          <w:color w:val="555555"/>
          <w:sz w:val="17"/>
        </w:rPr>
        <w:t xml:space="preserve">Zitiervorschlag: § 110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