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GNotKG — Beschlüsse von Organen</w:t>
      </w:r>
    </w:p>
    <w:p>
      <w:r>
        <w:rPr>
          <w:color w:val="555555"/>
          <w:sz w:val="18"/>
        </w:rPr>
        <w:t xml:space="preserve">Gerichts- und Notarkostengesetz</w:t>
      </w:r>
    </w:p>
    <w:p>
      <w:r>
        <w:rPr>
          <w:color w:val="555555"/>
          <w:sz w:val="18"/>
        </w:rPr>
        <w:t xml:space="preserve">Stand: 01.01.2024 (konsolidierte Textfassung, kein amtliches Inkrafttretensdatum)</w:t>
      </w:r>
    </w:p>
    <w:p>
      <w:r>
        <w:t xml:space="preserve">(1) Für den Geschäftswert bei der Beurkundung von Beschlüssen von Organen von Kapitalgesellschaften und rechtsfähigen Personengesellschaften sowie von Versicherungsvereinen auf Gegenseitigkeit, juristischen Personen (§ 33 des Handelsgesetzbuchs) oder Genossenschaften, deren Gegenstand keinen bestimmten Geldwert hat, gilt § 105 Absatz 4 und 6 entsprechend. Bei Beschlüssen, deren Gegenstand einen bestimmten Geldwert hat, beträgt der Wert nicht weniger als der sich nach § 105 Absatz 1 ergebende Wert.</w:t>
      </w:r>
    </w:p>
    <w:p>
      <w:r>
        <w:t xml:space="preserve">(2) Bei der Beurkundung von Beschlüssen im Sinne des Absatzes 1, welche die Zustimmung zu einem bestimmten Rechtsgeschäft enthalten, ist der Geschäftswert wie bei der Beurkundung des Geschäfts zu bestimmen, auf das sich der Zustimmungsbeschluss bezieht.</w:t>
      </w:r>
    </w:p>
    <w:p>
      <w:r>
        <w:t xml:space="preserve">(3) Der Geschäftswert bei der Beurkundung von Beschlüssen nach dem Umwandlungsgesetz ist der Wert des Vermögens des übertragenden oder formwechselnden Rechtsträgers. Bei Abspaltungen oder Ausgliederungen ist der Wert des übergehenden Vermögens maßgebend.</w:t>
      </w:r>
    </w:p>
    <w:p>
      <w:r>
        <w:t xml:space="preserve">(4) Der Geschäftswert von Beschlüssen von Gesellschafts-, Stiftungs- und Vereinsorganen sowie von ähnlichen Organen beträgt höchstens 5 Millionen Euro, auch wenn mehrere Beschlüsse mit verschiedenem Gegenstand in einem Beurkundungsverfahren zusammengefasst werden.</w:t>
      </w:r>
    </w:p>
    <w:p>
      <w:r>
        <w:rPr>
          <w:color w:val="555555"/>
          <w:sz w:val="17"/>
        </w:rPr>
        <w:t xml:space="preserve">Zitiervorschlag: § 108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