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GNotKG — Gesellschaftsrechtliche Verträge, Satzungen und Pläne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Beurkundung von Gesellschaftsverträgen und Satzungen sowie von Plänen und Verträgen nach dem Umwandlungsgesetz beträgt der Geschäftswert mindestens 30 000 Euro und höchstens 10 Millionen Euro. Der in Satz 1 bestimmte Mindestwert gilt nicht bei der Beurkundung von Gesellschaftsverträgen und Satzungen in den Fällen des § 105 Absatz 6.</w:t>
      </w:r>
    </w:p>
    <w:p>
      <w:r>
        <w:t xml:space="preserve">(2) Bei der Beurkundung von Verträgen zwischen verbundenen Unternehmen (§ 15 des Aktiengesetzes) über die Veräußerung oder über die Verpflichtung zur Veräußerung von Gesellschaftsanteilen und -beteiligungen beträgt der Geschäftswert höchstens 10 Millionen Euro. Satz 1 gilt nicht, sofern die betroffene Gesellschaft überwiegend vermögensverwaltend tätig ist, insbesondere als Immobilienverwaltungs-, Objekt-, Holding-, Besitz- oder sonstige Beteiligungsgesellschaft.</w:t>
      </w:r>
    </w:p>
    <w:p>
      <w:r>
        <w:rPr>
          <w:color w:val="555555"/>
          <w:sz w:val="17"/>
        </w:rPr>
        <w:t xml:space="preserve">Zitiervorschlag: § 107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