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GNotKG — Anmeldung zu bestimmten Registern</w:t>
      </w:r>
    </w:p>
    <w:p>
      <w:r>
        <w:rPr>
          <w:color w:val="555555"/>
          <w:sz w:val="18"/>
        </w:rPr>
        <w:t xml:space="preserve">Gerichts- und Notarkostengesetz</w:t>
      </w:r>
    </w:p>
    <w:p>
      <w:r>
        <w:rPr>
          <w:color w:val="555555"/>
          <w:sz w:val="18"/>
        </w:rPr>
        <w:t xml:space="preserve">Stand: 01.01.2024 (konsolidierte Textfassung, kein amtliches Inkrafttretensdatum)</w:t>
      </w:r>
    </w:p>
    <w:p>
      <w:r>
        <w:t xml:space="preserve">(1) Bei den folgenden Anmeldungen zum Handelsregister ist Geschäftswert der in das Handelsregister einzutragende Geldbetrag, bei Änderung bereits eingetragener Geldbeträge der Unterschiedsbetrag:</w:t>
      </w:r>
    </w:p>
    <w:p>
      <w:pPr>
        <w:ind w:left="420"/>
      </w:pPr>
      <w:r>
        <w:t xml:space="preserve">1. erste Anmeldung einer Kapitalgesellschaft; ein in der Satzung bestimmtes genehmigtes Kapital ist dem Grund- oder Stammkapital hinzuzurechnen;</w:t>
      </w:r>
    </w:p>
    <w:p>
      <w:pPr>
        <w:ind w:left="420"/>
      </w:pPr>
      <w:r>
        <w:t xml:space="preserve">2. erste Anmeldung eines Versicherungsvereins auf Gegenseitigkeit;</w:t>
      </w:r>
    </w:p>
    <w:p>
      <w:pPr>
        <w:ind w:left="420"/>
      </w:pPr>
      <w:r>
        <w:t xml:space="preserve">3. Erhöhung oder Herabsetzung des Stammkapitals einer Gesellschaft mit beschränkter Haftung;</w:t>
      </w:r>
    </w:p>
    <w:p>
      <w:pPr>
        <w:ind w:left="420"/>
      </w:pPr>
      <w:r>
        <w:t xml:space="preserve">4. Beschluss der Hauptversammlung einer Aktiengesellschaft oder einer Kommanditgesellschaft auf Aktien über</w:t>
      </w:r>
    </w:p>
    <w:p>
      <w:pPr>
        <w:ind w:left="780"/>
      </w:pPr>
      <w:r>
        <w:t xml:space="preserve">a) Maßnahmen der Kapitalbeschaffung (§§ 182 bis 221 des Aktiengesetzes); dem Beschluss über die genehmigte Kapitalerhöhung steht der Beschluss über die Verlängerung der Frist gleich, innerhalb derer der Vorstand das Kapital erhöhen kann;</w:t>
      </w:r>
    </w:p>
    <w:p>
      <w:pPr>
        <w:ind w:left="780"/>
      </w:pPr>
      <w:r>
        <w:t xml:space="preserve">b) Maßnahmen der Kapitalherabsetzung (§§ 222 bis 240 des Aktiengesetzes);</w:t>
      </w:r>
    </w:p>
    <w:p>
      <w:pPr>
        <w:ind w:left="420"/>
      </w:pPr>
      <w:r>
        <w:t xml:space="preserve">5. erste Anmeldung einer Kommanditgesellschaft; maßgebend ist die Summe der Kommanditeinlagen; hinzuzurechnen sind 30 000 Euro für den ersten und 15 000 Euro für jeden weiteren persönlich haftenden Gesellschafter;</w:t>
      </w:r>
    </w:p>
    <w:p>
      <w:pPr>
        <w:ind w:left="420"/>
      </w:pPr>
      <w:r>
        <w:t xml:space="preserve">6. Eintritt eines Kommanditisten in eine bestehende Personenhandelsgesellschaft oder Ausscheiden eines Kommanditisten; ist ein Kommanditist als Nachfolger eines anderen Kommanditisten oder ein bisher persönlich haftender Gesellschafter als Kommanditist oder ein bisheriger Kommanditist als persönlich haftender Gesellschafter einzutragen, ist die einfache Kommanditeinlage maßgebend;</w:t>
      </w:r>
    </w:p>
    <w:p>
      <w:pPr>
        <w:ind w:left="420"/>
      </w:pPr>
      <w:r>
        <w:t xml:space="preserve">7. Erhöhung oder Herabsetzung einer Kommanditeinlage.</w:t>
      </w:r>
    </w:p>
    <w:p>
      <w:r>
        <w:t xml:space="preserve">Der Geschäftswert beträgt mindestens 30 000 Euro.</w:t>
      </w:r>
    </w:p>
    <w:p>
      <w:r>
        <w:t xml:space="preserve">(2) Bei sonstigen Anmeldungen zum Handelsregister sowie bei Anmeldungen zum Gesellschafts-, Genossenschafts- und Partnerschaftsregister bestimmt sich der Geschäftswert nach den Absätzen 3 bis 5.</w:t>
      </w:r>
    </w:p>
    <w:p>
      <w:r>
        <w:t xml:space="preserve">(3) Der Geschäftswert beträgt bei der ersten Anmeldung</w:t>
      </w:r>
    </w:p>
    <w:p>
      <w:pPr>
        <w:ind w:left="420"/>
      </w:pPr>
      <w:r>
        <w:t xml:space="preserve">1. eines Einzelkaufmanns 30 000 Euro;</w:t>
      </w:r>
    </w:p>
    <w:p>
      <w:pPr>
        <w:ind w:left="420"/>
      </w:pPr>
      <w:r>
        <w:t xml:space="preserve">2. einer Gesellschaft bürgerlichen Rechts, einer offenen Handelsgesellschaft oder einer Partnerschaftsgesellschaft mit zwei Gesellschaftern 45 000 Euro; hat die Gesellschaft mehr als zwei Gesellschafter, erhöht sich der Wert für den dritten und jeden weiteren Gesellschafter um jeweils 15 000 Euro;</w:t>
      </w:r>
    </w:p>
    <w:p>
      <w:pPr>
        <w:ind w:left="420"/>
      </w:pPr>
      <w:r>
        <w:t xml:space="preserve">3. einer Genossenschaft oder einer juristischen Person (§ 33 des Handelsgesetzbuchs) 60 000 Euro.</w:t>
      </w:r>
    </w:p>
    <w:p>
      <w:r>
        <w:t xml:space="preserve">(4) Bei einer späteren Anmeldung beträgt der Geschäftswert, wenn diese</w:t>
      </w:r>
    </w:p>
    <w:p>
      <w:pPr>
        <w:ind w:left="420"/>
      </w:pPr>
      <w:r>
        <w:t xml:space="preserve">1. eine Kapitalgesellschaft betrifft, 1 Prozent des eingetragenen Grund- oder Stammkapitals, mindestens 30 000 Euro;</w:t>
      </w:r>
    </w:p>
    <w:p>
      <w:pPr>
        <w:ind w:left="420"/>
      </w:pPr>
      <w:r>
        <w:t xml:space="preserve">2. einen Versicherungsverein auf Gegenseitigkeit betrifft, 60 000 Euro;</w:t>
      </w:r>
    </w:p>
    <w:p>
      <w:pPr>
        <w:ind w:left="420"/>
      </w:pPr>
      <w:r>
        <w:t xml:space="preserve">3. eine rechtsfähige Personengesellschaft betrifft, 30 000 Euro; bei Eintritt oder Ausscheiden von mehr als zwei persönlich haftenden Gesellschaftern oder Partnern sind als Geschäftswert 15 000 Euro für jeden eintretenden oder ausscheidenden Gesellschafter oder Partner anzunehmen;</w:t>
      </w:r>
    </w:p>
    <w:p>
      <w:pPr>
        <w:ind w:left="420"/>
      </w:pPr>
      <w:r>
        <w:t xml:space="preserve">4. einen Einzelkaufmann, eine Genossenschaft oder eine juristische Person (§ 33 des Handelsgesetzbuchs) betrifft, 30 000 Euro.</w:t>
      </w:r>
    </w:p>
    <w:p>
      <w:r>
        <w:t xml:space="preserve">(5) Ist eine Anmeldung nur deshalb erforderlich, weil sich eine Anschrift geändert hat, oder handelt es sich um eine ähnliche Anmeldung, die für das Unternehmen keine wirtschaftliche Bedeutung hat, so beträgt der Geschäftswert 5 000 Euro.</w:t>
      </w:r>
    </w:p>
    <w:p>
      <w:r>
        <w:t xml:space="preserve">(6) Der in Absatz 1 Satz 2 und in Absatz 4 Nummer 1 bestimmte Mindestwert gilt nicht</w:t>
      </w:r>
    </w:p>
    <w:p>
      <w:pPr>
        <w:ind w:left="420"/>
      </w:pPr>
      <w:r>
        <w:t xml:space="preserve">1. für die Gründung einer Gesellschaft gemäß § 2 Absatz 1a des Gesetzes betreffend die Gesellschaften mit beschränkter Haftung und</w:t>
      </w:r>
    </w:p>
    <w:p>
      <w:pPr>
        <w:ind w:left="420"/>
      </w:pPr>
      <w:r>
        <w:t xml:space="preserve">2. für Änderungen des Gesellschaftsvertrags einer gemäß § 2 Absatz 1a des Gesetzes betreffend die Gesellschaften mit beschränkter Haftung gegründeten Gesellschaft, wenn die Gesellschaft auch mit dem geänderten Gesellschaftsvertrag hätte gemäß § 2 Absatz 1a des Gesetzes betreffend die Gesellschaften mit beschränkter Haftung gegründet werden können.</w:t>
      </w:r>
    </w:p>
    <w:p>
      <w:r>
        <w:t xml:space="preserve">Reine sprachliche Abweichungen vom Musterprotokoll oder die spätere Streichung der auf die Gründung verweisenden Formulierungen stehen der Anwendung des Satzes 1 nicht entgegen.</w:t>
      </w:r>
    </w:p>
    <w:p>
      <w:r>
        <w:rPr>
          <w:color w:val="555555"/>
          <w:sz w:val="17"/>
        </w:rPr>
        <w:t xml:space="preserve">Zitiervorschlag: § 105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