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GNotKG — Rechtswahl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Beurkundung einer Rechtswahl, die die allgemeinen oder güterrechtlichen Wirkungen der Ehe betrifft, beträgt der Geschäftswert 30 Prozent des Werts, der sich in entsprechender Anwendung des § 100 ergibt.</w:t>
      </w:r>
    </w:p>
    <w:p>
      <w:r>
        <w:t xml:space="preserve">(2) Bei der Beurkundung einer Rechtswahl, die eine Rechtsnachfolge von Todes wegen betrifft, beträgt der Geschäftswert 30 Prozent des Werts, der sich in entsprechender Anwendung des § 102 ergibt.</w:t>
      </w:r>
    </w:p>
    <w:p>
      <w:r>
        <w:t xml:space="preserve">(3) Bei der Beurkundung einer Rechtswahl in sonstigen Fällen beträgt der Geschäftswert 30 Prozent des Geschäftswerts für die Beurkundung des Rechtsgeschäfts, für das die Rechtswahl bestimmt ist.</w:t>
      </w:r>
    </w:p>
    <w:p>
      <w:r>
        <w:rPr>
          <w:color w:val="555555"/>
          <w:sz w:val="17"/>
        </w:rPr>
        <w:t xml:space="preserve">Zitiervorschlag: § 104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