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103 GNotKG — Erklärungen gegenüber dem Nachlassgericht, Anträge an das Nachlassgericht</w:t>
      </w:r>
    </w:p>
    <w:p>
      <w:r>
        <w:rPr>
          <w:color w:val="555555"/>
          <w:sz w:val="18"/>
        </w:rPr>
        <w:t xml:space="preserve">Gerichts- und Notarkostengesetz</w:t>
      </w:r>
    </w:p>
    <w:p>
      <w:r>
        <w:rPr>
          <w:color w:val="555555"/>
          <w:sz w:val="18"/>
        </w:rPr>
        <w:t xml:space="preserve">Stand: 10.06.2019 (konsolidierte Textfassung, kein amtliches Inkrafttretensdatum)</w:t>
      </w:r>
    </w:p>
    <w:p>
      <w:r>
        <w:t xml:space="preserve">(1) Werden in einer vermögensrechtlichen Angelegenheit Erklärungen, die gegenüber dem Nachlassgericht abzugeben sind, oder Anträge an das Nachlassgericht beurkundet, ist Geschäftswert der Wert des betroffenen Vermögens oder des betroffenen Bruchteils nach Abzug der Verbindlichkeiten zum Zeitpunkt der Beurkundung.</w:t>
      </w:r>
    </w:p>
    <w:p>
      <w:r>
        <w:t xml:space="preserve">(2) Bei der Beurkundung von Erklärungen über die Ausschlagung des Anfalls eines Hofes (§ 11 der Höfeordnung) gilt Absatz 1 entsprechend.</w:t>
      </w:r>
    </w:p>
    <w:p>
      <w:r>
        <w:rPr>
          <w:color w:val="555555"/>
          <w:sz w:val="17"/>
        </w:rPr>
        <w:t xml:space="preserve">Zitiervorschlag: § 103 GNotKG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https://recht.nulegal.eu/gesetze/GNotKG/103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