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GNotKG — Erbrechtliche Angelegenheiten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Geschäftswert bei der Beurkundung einer Verfügung von Todes wegen ist, wenn über den ganzen Nachlass oder einen Bruchteil verfügt wird, der Wert des Vermögens oder der Wert des entsprechenden Bruchteils des Vermögens. Verbindlichkeiten des Erblassers werden abgezogen, jedoch nur bis zur Hälfte des Werts des Vermögens. Vermächtnisse und Auflagen werden nur bei Verfügung über einen Bruchteil und nur mit dem Anteil ihres Werts hinzugerechnet, der dem Bruchteil entspricht, über den nicht verfügt wird.</w:t>
      </w:r>
    </w:p>
    <w:p>
      <w:r>
        <w:t xml:space="preserve">(2) Verfügt der Erblasser außer über die Gesamtrechtsnachfolge daneben über Vermögenswerte, die noch nicht zu seinem Vermögen gehören, jedoch in der Verfügung von Todes wegen konkret bezeichnet sind, wird deren Wert hinzugerechnet. Von dem Begünstigten zu übernehmende Verbindlichkeiten werden abgezogen, jedoch nur bis zur Hälfte des Vermögenswerts. Die Sätze 1 und 2 gelten bei gemeinschaftlichen Testamenten und gegenseitigen Erbverträgen nicht für Vermögenswerte, die bereits nach Absatz 1 berücksichtigt sind.</w:t>
      </w:r>
    </w:p>
    <w:p>
      <w:r>
        <w:t xml:space="preserve">(3) Betrifft die Verfügung von Todes wegen nur bestimmte Vermögenswerte, ist deren Wert maßgebend; Absatz 2 Satz 2 gilt entsprechend.</w:t>
      </w:r>
    </w:p>
    <w:p>
      <w:r>
        <w:t xml:space="preserve">(4) Bei der Beurkundung eines Erbverzichts-, Zuwendungsverzichts- oder Pflichtteilsverzichtsvertrags gilt Absatz 1 Satz 1 und 2 entsprechend; soweit der Zuwendungsverzicht ein Vermächtnis betrifft, gilt Absatz 3 entsprechend. Das Pflichtteilsrecht ist wie ein entsprechender Bruchteil des Nachlasses zu behandeln.</w:t>
      </w:r>
    </w:p>
    <w:p>
      <w:r>
        <w:t xml:space="preserve">(5) Die Absätze 1 bis 3 gelten entsprechend für die Beurkundung der Anfechtung oder des Widerrufs einer Verfügung von Todes wegen sowie für den Rücktritt von einem Erbvertrag. Hat eine Erklärung des einen Teils nach Satz 1 im Fall eines gemeinschaftlichen Testaments oder eines Erbvertrags die Unwirksamkeit von Verfügungen des anderen Teils zur Folge, ist der Wert der Verfügungen des anderen Teils dem Wert nach Satz 1 hinzuzurechnen.</w:t>
      </w:r>
    </w:p>
    <w:p>
      <w:r>
        <w:rPr>
          <w:color w:val="555555"/>
          <w:sz w:val="17"/>
        </w:rPr>
        <w:t xml:space="preserve">Zitiervorschlag: § 102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