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GNotKG — Güterrechtliche Angelegenheiten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Der Geschäftswert</w:t>
      </w:r>
    </w:p>
    <w:p>
      <w:pPr>
        <w:ind w:left="420"/>
      </w:pPr>
      <w:r>
        <w:t xml:space="preserve">1. bei der Beurkundung von Eheverträgen im Sinne des § 1408 des Bürgerlichen Gesetzbuchs, die sich nicht auf Vereinbarungen über den Versorgungsausgleich beschränken, und</w:t>
      </w:r>
    </w:p>
    <w:p>
      <w:pPr>
        <w:ind w:left="420"/>
      </w:pPr>
      <w:r>
        <w:t xml:space="preserve">2. bei der Beurkundung von Anmeldungen aufgrund solcher Verträge</w:t>
      </w:r>
    </w:p>
    <w:p>
      <w:r>
        <w:t xml:space="preserve">ist die Summe der Werte der gegenwärtigen Vermögen beider Ehegatten. Betrifft der Ehevertrag nur das Vermögen eines Ehegatten, ist nur dessen Vermögen maßgebend. Bei Ermittlung des Vermögens werden Verbindlichkeiten bis zur Hälfte des nach Satz 1 oder 2 maßgeblichen Werts abgezogen. Verbindlichkeiten eines Ehegatten werden nur von seinem Vermögen abgezogen.</w:t>
      </w:r>
    </w:p>
    <w:p>
      <w:r>
        <w:t xml:space="preserve">(2) Betrifft der Ehevertrag nur bestimmte Vermögenswerte, auch wenn sie dem Anfangsvermögen hinzuzurechnen wären, oder bestimmte güterrechtliche Ansprüche, so ist deren Wert, höchstens jedoch der Wert nach Absatz 1 maßgebend.</w:t>
      </w:r>
    </w:p>
    <w:p>
      <w:r>
        <w:t xml:space="preserve">(3) Betrifft der Ehevertrag Vermögenswerte, die noch nicht zum Vermögen des Ehegatten gehören, werden sie mit 30 Prozent ihres Werts berücksichtigt, wenn sie im Ehevertrag konkret bezeichnet sind.</w:t>
      </w:r>
    </w:p>
    <w:p>
      <w:r>
        <w:t xml:space="preserve">(4) Die Absätze 1 bis 3 gelten entsprechend bei Lebenspartnerschaftsverträgen.</w:t>
      </w:r>
    </w:p>
    <w:p>
      <w:r>
        <w:rPr>
          <w:color w:val="555555"/>
          <w:sz w:val="17"/>
        </w:rPr>
        <w:t xml:space="preserve">Zitiervorschlag: § 100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