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GMAusbV — Prüfungsbereich von Teil 1</w:t>
      </w:r>
    </w:p>
    <w:p>
      <w:r>
        <w:rPr>
          <w:color w:val="555555"/>
          <w:sz w:val="18"/>
        </w:rPr>
        <w:t xml:space="preserve">Gießereimechanikerausbildungsverordnung</w:t>
      </w:r>
    </w:p>
    <w:p>
      <w:r>
        <w:rPr>
          <w:color w:val="555555"/>
          <w:sz w:val="18"/>
        </w:rPr>
        <w:t xml:space="preserve">Stand: 10.06.2019 (konsolidierte Textfassung, kein amtliches Inkrafttretensdatum)</w:t>
      </w:r>
    </w:p>
    <w:p>
      <w:r>
        <w:t xml:space="preserve">(1) Teil 1 der Abschlussprüfung findet im Prüfungsbereich Gießereitechnik statt.</w:t>
      </w:r>
    </w:p>
    <w:p>
      <w:r>
        <w:t xml:space="preserve">(2) Im Prüfungsbereich Gießereitechnik soll der Prüfling nachweisen, dass er in der Lage ist,</w:t>
      </w:r>
    </w:p>
    <w:p>
      <w:pPr>
        <w:ind w:left="420"/>
      </w:pPr>
      <w:r>
        <w:t xml:space="preserve">1. technische Unterlagen auszuwerten, technische Parameter zu bestimmen, Arbeitsabläufe zu planen und Material und Werkzeug auszuwählen,</w:t>
      </w:r>
    </w:p>
    <w:p>
      <w:pPr>
        <w:ind w:left="420"/>
      </w:pPr>
      <w:r>
        <w:t xml:space="preserve">2. Bauteile durch manuelle und maschinelle Bearbeitung sowie durch ein gießtechnisches Verfahren herzustellen und Steuerungstechnik anzuwenden,</w:t>
      </w:r>
    </w:p>
    <w:p>
      <w:pPr>
        <w:ind w:left="420"/>
      </w:pPr>
      <w:r>
        <w:t xml:space="preserve">3. Unfallverhütungsvorschriften anzuwenden und Umweltschutzbestimmungen zu beachten und die Sicherheit von Betriebsmitteln zu beurteilen,</w:t>
      </w:r>
    </w:p>
    <w:p>
      <w:pPr>
        <w:ind w:left="420"/>
      </w:pPr>
      <w:r>
        <w:t xml:space="preserve">4. Prüfverfahren und Prüfmittel auszuwählen und anzuwenden, die Einsatzfähigkeit von Prüfmitteln festzustellen und die Ergebnisse zu dokumentieren und zu bewerten und</w:t>
      </w:r>
    </w:p>
    <w:p>
      <w:pPr>
        <w:ind w:left="420"/>
      </w:pPr>
      <w:r>
        <w:t xml:space="preserve">5. Auftragsdurchführungen zu dokumentieren und zu erläutern.</w:t>
      </w:r>
    </w:p>
    <w:p>
      <w:r>
        <w:t xml:space="preserve">(3) Für den Nachweis nach Absatz 1 sind folgende Tätigkeiten zugrunde zu legen:</w:t>
      </w:r>
    </w:p>
    <w:p>
      <w:pPr>
        <w:ind w:left="420"/>
      </w:pPr>
      <w:r>
        <w:t xml:space="preserve">1. Herstellen eines Gussstückes mittels eines Handmodells,</w:t>
      </w:r>
    </w:p>
    <w:p>
      <w:pPr>
        <w:ind w:left="420"/>
      </w:pPr>
      <w:r>
        <w:t xml:space="preserve">2. Anfertigen einer mechanischen Baugruppe und</w:t>
      </w:r>
    </w:p>
    <w:p>
      <w:pPr>
        <w:ind w:left="420"/>
      </w:pPr>
      <w:r>
        <w:t xml:space="preserve">3. Errichtung und Funktionskontrolle einer pneumatischen Steuerung.</w:t>
      </w:r>
    </w:p>
    <w:p>
      <w:r>
        <w:t xml:space="preserve">(4) Der Prüfling soll zu jeder der in Absatz 3 Nummer 1 bis 3 genannten Tätigkeiten eine Arbeitsaufgabe durchführen. Mit dem Prüfling soll während der Durchführung der Arbeitsaufgabe nach Absatz 3 Nummer 1 ein situatives Fachgespräch geführt werden. Weiterhin soll der Prüfling Aufgaben schriftlich bearbeiten.</w:t>
      </w:r>
    </w:p>
    <w:p>
      <w:r>
        <w:t xml:space="preserve">(5) Die Prüfungszeit beträgt insgesamt achteinhalb Stunden. Dabei entfallen auf die erste Arbeitsaufgabe drei Stunden und auf die zweite und dritte Arbeitsaufgabe zusammen vier Stunden. Das situative Fachgespräch umfasst innerhalb dieser Zeit höchstens zehn Minuten. Die Bearbeitungszeit für die schriftlich zu bearbeitenden Aufgaben beträgt 90 Minuten.</w:t>
      </w:r>
    </w:p>
    <w:p>
      <w:r>
        <w:rPr>
          <w:color w:val="555555"/>
          <w:sz w:val="17"/>
        </w:rPr>
        <w:t xml:space="preserve">Zitiervorschlag: § 9 GMAusbV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