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GMAusbV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Gießereimechanikerausbildungsverordnung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Gießereitechnik    mit 35 Prozent,</w:t>
      </w:r>
    </w:p>
    <w:p>
      <w:r>
        <w:rPr>
          <w:rFonts w:ascii="Courier New" w:hAnsi="Courier New"/>
          <w:sz w:val="17"/>
        </w:rPr>
        <w:t xml:space="preserve">Kundenauftrag    mit 35 Prozent,</w:t>
      </w:r>
    </w:p>
    <w:p>
      <w:r>
        <w:rPr>
          <w:rFonts w:ascii="Courier New" w:hAnsi="Courier New"/>
          <w:sz w:val="17"/>
        </w:rPr>
        <w:t xml:space="preserve">Auftrags- und Fertigungsplanung    mit 10 Prozent,</w:t>
      </w:r>
    </w:p>
    <w:p>
      <w:r>
        <w:rPr>
          <w:rFonts w:ascii="Courier New" w:hAnsi="Courier New"/>
          <w:sz w:val="17"/>
        </w:rPr>
        <w:t xml:space="preserve">Gussstückherstellung    mit 10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zwei der übrigen Prüfungsbereiche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(3) Auf Antrag des Prüflings ist die Prüfung in einem der Prüfungsbereiche „Auftrags- und Fertigungsplanung“, „Gussstückherstellung“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