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GLUESTV2021_2 (Brandenburg)</w:t>
      </w:r>
    </w:p>
    <w:p>
      <w:r>
        <w:rPr>
          <w:color w:val="555555"/>
          <w:sz w:val="18"/>
        </w:rPr>
        <w:t xml:space="preserve">Gesetz zu dem Zweiten Staatsvertrag zur Änderung des Glücksspielstaatsvertrags 2021 (2. GlüÄndStV 2021)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Zweite Staatsvertrag zur Änderung des Glücksspielstaatsvertrags 2021 nach seinem Artikel 2 Absatz 1 in Kraft tritt, ist im Gesetz- und Verordnungsblatt für das Land Brandenburg Teil I bekannt zu geben.</w:t>
      </w:r>
    </w:p>
    <w:p>
      <w:r>
        <w:t xml:space="preserve">Potsdam, den 3. Juli 2026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3 GLUESTV2021_2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https://recht.nulegal.eu/gesetze/GLUESTV2021_2/3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