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GLUESTV2021_2 (Brandenburg)</w:t>
      </w:r>
    </w:p>
    <w:p>
      <w:r>
        <w:rPr>
          <w:color w:val="555555"/>
          <w:sz w:val="18"/>
        </w:rPr>
        <w:t xml:space="preserve">Gesetz zu dem Zweiten Staatsvertrag zur Änderung des Glücksspielstaatsvertrags 2021 (2. GlüÄndStV 2021)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dieses Gesetz wird das Grundrecht auf informationelle Selbstbestimmung (Artikel 2 Absatz 1 in Verbindung mit Artikel 1 Absatz 1 des Grundgesetzes) und das Grundrecht auf Datenschutz (Artikel 11 Absatz 1 der Verfassung des Landes Brandenburg) eingeschränkt.</w:t>
      </w:r>
    </w:p>
    <w:p>
      <w:r>
        <w:rPr>
          <w:color w:val="555555"/>
          <w:sz w:val="17"/>
        </w:rPr>
        <w:t xml:space="preserve">Zitiervorschlag: § 2 GLUESTV2021_2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https://recht.nulegal.eu/gesetze/GLUESTV2021_2/2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