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GLUESTV2021_1 (Brandenburg)</w:t>
      </w:r>
    </w:p>
    <w:p>
      <w:r>
        <w:rPr>
          <w:color w:val="555555"/>
          <w:sz w:val="18"/>
        </w:rPr>
        <w:t xml:space="preserve">Gesetz zum Staatsvertrag zur Änderung des Glücksspielstaatsvertrags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2 Absatz 1 in Kraft tritt, ist im Gesetz- und Verordnungsblatt für das Land Brandenburg Teil I bekannt zu geben.</w:t>
      </w:r>
    </w:p>
    <w:p>
      <w:r>
        <w:t xml:space="preserve">Potsdam, den 5. Juli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GLUESTV2021_1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https://recht.nulegal.eu/gesetze/GLUESTV2021_1/2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