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GLUECKSSPIEL_SV_1 (Brandenburg)</w:t>
      </w:r>
    </w:p>
    <w:p>
      <w:r>
        <w:rPr>
          <w:color w:val="555555"/>
          <w:sz w:val="18"/>
        </w:rPr>
        <w:t xml:space="preserve">Gesetz zu dem Ersten Glücksspieländerungsstaatsvertrag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15. Dezember 2011 vom Land Brandenburg unterzeichneten Ersten Staatsvertrag zur Änderung des Staatsvertrages zum Glücksspielwesen in Deutschland (Erster Glücksspieländerungsstaatsvertrag - Erster GIüÄndStV) wird zugestimmt. Der Staatsvertrag wird nachstehend veröffentlicht.</w:t>
      </w:r>
    </w:p>
    <w:p>
      <w:r>
        <w:rPr>
          <w:color w:val="555555"/>
          <w:sz w:val="17"/>
        </w:rPr>
        <w:t xml:space="preserve">Zitiervorschlag: § 1 GLUECKSSPIEL_SV_1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https://recht.nulegal.eu/gesetze/GLUECKSSPIEL_SV_1/1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