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GLUEAENDSTV_3 (Brandenburg)</w:t>
      </w:r>
    </w:p>
    <w:p>
      <w:r>
        <w:rPr>
          <w:color w:val="555555"/>
          <w:sz w:val="18"/>
        </w:rPr>
        <w:t xml:space="preserve">Gesetz zu dem Dritten Glücksspieländerungsstaatsvertrag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2 Absatz 1 Satz 1 am 1. Januar 2020 in Kraft. Sollte der Staatsvertrag nach seinem Artikel 2 Absatz 1 Satz 2 gegenstandslos werden, ist dies unverzüglich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19.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Dritter Staatsvertrag zur Änderung des Staatsvertrages zum Glücksspielwesen in Deutschland (Dritter Glücksspieländerungsstaatsvertrag – 3. GlüÄndStV) 279.7 KB</w:t>
      </w:r>
    </w:p>
    <w:p>
      <w:r>
        <w:rPr>
          <w:color w:val="555555"/>
          <w:sz w:val="17"/>
        </w:rPr>
        <w:t xml:space="preserve">Zitiervorschlag: § 3 GLUEAENDSTV_3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https://recht.nulegal.eu/gesetze/GLUEAENDSTV_3/3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