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Schlussformel GLKrWO (Bayern)</w:t>
      </w:r>
    </w:p>
    <w:p>
      <w:r>
        <w:rPr>
          <w:color w:val="555555"/>
          <w:sz w:val="18"/>
        </w:rPr>
        <w:t xml:space="preserve">Gemeinde- und Landkreiswahlordnung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München, den 7. November 2006</w:t>
      </w:r>
    </w:p>
    <w:p>
      <w:r>
        <w:t xml:space="preserve">Bayerisches Staatsministerium des Innern</w:t>
      </w:r>
    </w:p>
    <w:p>
      <w:r>
        <w:t xml:space="preserve">Dr. Günther Beckstein, Staatsminister</w:t>
      </w:r>
    </w:p>
    <w:p>
      <w:r>
        <w:rPr>
          <w:color w:val="555555"/>
          <w:sz w:val="17"/>
        </w:rPr>
        <w:t xml:space="preserve">Zitiervorschlag: Schlussformel GLKrWO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https://recht.nulegal.eu/gesetze/GLKrWO/schlussformel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Schlussformel GLKrWO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