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GLKrWO (Bayern) — Bekanntmachungen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eine Bekanntmachung ohne nähere Verfahrensbestimmungen vorgeschrieben ist, erfolgt die Bekanntmachung</w:t>
      </w:r>
    </w:p>
    <w:p>
      <w:r>
        <w:t xml:space="preserve">1. der Gemeinde und der Wahlleiterin oder des Wahlleiters für die Gemeindewahlen durch öffentlichen Anschlag am Rathaus und bei einer Gemeinde, die einer Verwaltungsgemeinschaft angehört, zusätzlich an der Geschäftsstelle der Verwaltungsgemeinschaft oder entsprechend den Vorschriften, die für die Bekanntmachung von Satzungen der Gemeinde gelten,</w:t>
      </w:r>
    </w:p>
    <w:p>
      <w:r>
        <w:t xml:space="preserve">2. der Wahlleiterin oder des Wahlleiters für die Landkreiswahlen durch öffentlichen Anschlag am Landratsamt oder entsprechend den Vorschriften, die für die Bekanntmachung von Satzungen des Landkreises gelten.</w:t>
      </w:r>
    </w:p>
    <w:p>
      <w:r>
        <w:rPr>
          <w:color w:val="555555"/>
          <w:sz w:val="17"/>
        </w:rPr>
        <w:t xml:space="preserve">Zitiervorschlag: § 98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