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GLKrWO (Bayern) — Beschlüsse des Wahlausschusses und der Wahlvorstände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Wahlausschuss ist ohne Rücksicht auf die Zahl der erschienenen Beisitzer beschlussfähig.</w:t>
      </w:r>
    </w:p>
    <w:p>
      <w:r>
        <w:t xml:space="preserve">(2) Der Wahlvorstand (Briefwahlvorstand) ist beschlussfähig, wenn die Wahlvorsteherin oder der Wahlvorsteher (Briefwahlvorsteherin oder Briefwahlvorsteher) und die Schriftführerin oder der Schriftführer oder ihre Stellvertretung sowie mindestens ein Beisitzer anwesend sind.</w:t>
      </w:r>
    </w:p>
    <w:p>
      <w:r>
        <w:t xml:space="preserve">(3) Entscheidungen werden durch Beschluss getroffen, sofern nicht die Wahlleiterin oder der Wahlleiter, die Wahlvorsteherinnen und Wahlvorsteher oder die Briefwahlvorsteherin und Briefwahlvorsteher allein zuständig sind.</w:t>
      </w:r>
    </w:p>
    <w:p>
      <w:r>
        <w:rPr>
          <w:color w:val="555555"/>
          <w:sz w:val="17"/>
        </w:rPr>
        <w:t xml:space="preserve">Zitiervorschlag: § 9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