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86 GLKrWO (Bayern) — Ungültigkeit der Stimmvergabe bei Mehrheitswahl</w:t>
      </w:r>
    </w:p>
    <w:p>
      <w:r>
        <w:rPr>
          <w:color w:val="555555"/>
          <w:sz w:val="18"/>
        </w:rPr>
        <w:t xml:space="preserve">Gemeinde- und Landkreiswahlordnung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Stimmvergabe für die Wahl der Gemeinderatsmitglieder und der Kreisrätinnen und Kreisräte ist bei Mehrheitswahl ungültig,</w:t>
      </w:r>
    </w:p>
    <w:p>
      <w:r>
        <w:t xml:space="preserve">1. wenn die zur Verfügung stehende Gesamtstimmenzahl überschritten wurde,</w:t>
      </w:r>
    </w:p>
    <w:p>
      <w:r>
        <w:t xml:space="preserve">2. soweit eine sich bewerbende Person mehr als dreimal auf dem Stimmzettel benannt wurde oder mehr als drei Stimmen erhalten hat, hinsichtlich der weiteren Stimmen für diese Person; Nr. 1 bleibt unberührt.</w:t>
      </w:r>
    </w:p>
    <w:p>
      <w:r>
        <w:rPr>
          <w:color w:val="555555"/>
          <w:sz w:val="17"/>
        </w:rPr>
        <w:t xml:space="preserve">Zitiervorschlag: § 86 GLKrWO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https://recht.nulegal.eu/gesetze/GLKrWO/86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