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85 GLKrWO (Bayern) — Ungültigkeit der Stimmvergabe bei Verhältniswahl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Stimmvergabe für die Wahl der Gemeinderatsmitglieder und der Kreisrätinnen und Kreisräte ist bei Verhältniswahl ungültig,</w:t>
      </w:r>
    </w:p>
    <w:p>
      <w:r>
        <w:t xml:space="preserve">1. wenn mehr als ein Wahlvorschlag in der Kopfleiste gekennzeichnet und dadurch die Gesamtstimmenzahl überschritten wurde, hinsichtlich der unveränderten Annahme von Wahlvorschlägen,</w:t>
      </w:r>
    </w:p>
    <w:p>
      <w:r>
        <w:t xml:space="preserve">2. wenn bei Einzelstimmvergabe die zur Verfügung stehende Gesamtstimmenzahl überschritten wurde,</w:t>
      </w:r>
    </w:p>
    <w:p>
      <w:r>
        <w:t xml:space="preserve">3. soweit eine sich bewerbende Person mehr als drei Stimmen erhalten hat, hinsichtlich der weiteren Stimmen für diese Person; Nrn. 1 und 2 bleiben unberührt.</w:t>
      </w:r>
    </w:p>
    <w:p>
      <w:r>
        <w:rPr>
          <w:color w:val="555555"/>
          <w:sz w:val="17"/>
        </w:rPr>
        <w:t xml:space="preserve">Zitiervorschlag: § 85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https://recht.nulegal.eu/gesetze/GLKrWO/85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