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 GLKrWO (Bayern) — Behandlung der Wahlbriefe in Gemeinden mit nur einem Stimmbezirk</w:t>
      </w:r>
    </w:p>
    <w:p>
      <w:r>
        <w:rPr>
          <w:color w:val="555555"/>
          <w:sz w:val="18"/>
        </w:rPr>
        <w:t xml:space="preserve">Gemeinde- und Landkreiswahlordnung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Bildet die Gemeinde nur einen Stimmbezirk und beauftragt sie den Wahlvorstand mit der Übernahme der Geschäfte des Briefwahlvorstands, sollen dem Wahlvorstand am Wahltag bis spätestens 8 Uhr die bis dahin eingegangenen Wahlbriefe übergeben werden.</w:t>
      </w:r>
    </w:p>
    <w:p>
      <w:r>
        <w:t xml:space="preserve">(2) Der Wahlvorstand prüft nach § 71 die Wahlbriefe, ohne dabei den Ablauf der Abstimmung zu behindern, und legt die Stimmzettelumschläge ungeöffnet in eine besondere Briefwahlurne.</w:t>
      </w:r>
    </w:p>
    <w:p>
      <w:r>
        <w:rPr>
          <w:color w:val="555555"/>
          <w:sz w:val="17"/>
        </w:rPr>
        <w:t xml:space="preserve">Zitiervorschlag: § 73 GLKrWO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https://recht.nulegal.eu/gesetze/GLKrWO/73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