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GLKrWO (Bayern) — Ausstattung der Wahlvorstände und der Briefwahlvorstände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 Wahlvorsteherin und jeder Wahlvorsteher erhält vor Beginn der Abstimmung</w:t>
      </w:r>
    </w:p>
    <w:p>
      <w:r>
        <w:t xml:space="preserve">1. das Wählerverzeichnis,</w:t>
      </w:r>
    </w:p>
    <w:p>
      <w:r>
        <w:t xml:space="preserve">2. das Verzeichnis der eingetragenen Stimmberechtigten, denen nach Abschluss des Wählerverzeichnisses noch Wahlscheine erteilt worden sind,</w:t>
      </w:r>
    </w:p>
    <w:p>
      <w:r>
        <w:t xml:space="preserve">3. das Verzeichnis der für ungültig erklärten Wahlscheine und die Nachträge hierzu,</w:t>
      </w:r>
    </w:p>
    <w:p>
      <w:r>
        <w:t xml:space="preserve">4. amtliche Stimmzettel in ausreichender Anzahl,</w:t>
      </w:r>
    </w:p>
    <w:p>
      <w:r>
        <w:t xml:space="preserve">5. eine Kopie der Wahlbekanntmachung nach § 53,</w:t>
      </w:r>
    </w:p>
    <w:p>
      <w:r>
        <w:t xml:space="preserve">6. je einen als „Muster“ gekennzeichneten Stimmzettel,</w:t>
      </w:r>
    </w:p>
    <w:p>
      <w:r>
        <w:t xml:space="preserve">7. Vordrucke der Niederschriften für jede Wahl,</w:t>
      </w:r>
    </w:p>
    <w:p>
      <w:r>
        <w:t xml:space="preserve">8. Vordrucke der Zähllisten,</w:t>
      </w:r>
    </w:p>
    <w:p>
      <w:r>
        <w:t xml:space="preserve">9. Vordrucke für die Meldung der vorläufigen Ergebnisse,</w:t>
      </w:r>
    </w:p>
    <w:p>
      <w:r>
        <w:t xml:space="preserve">10. Textausgaben des Gemeinde- und Landkreiswahlgesetzes sowie der Gemeinde- und Landkreiswahlordnung, die die Anlagen zu diesen Vorschriften nicht zu enthalten brauchen,</w:t>
      </w:r>
    </w:p>
    <w:p>
      <w:r>
        <w:t xml:space="preserve">11. Verschlussmaterial für die Wahlurnen,</w:t>
      </w:r>
    </w:p>
    <w:p>
      <w:r>
        <w:t xml:space="preserve">12. Papierbeutel oder Packpapier und Siegelmaterial zum Verpacken der Stimmzettel und der Wahlscheine,</w:t>
      </w:r>
    </w:p>
    <w:p>
      <w:r>
        <w:t xml:space="preserve">13. sonstige erforderliche Hilfsmittel (z.B. Schreibmaterial).</w:t>
      </w:r>
    </w:p>
    <w:p>
      <w:r>
        <w:t xml:space="preserve">Bei Einsatz einer Datenverarbeitungsanlage kann auf die Übermittlung der Wahlunterlagen nach Satz 1 Nrn. 7 bis 10 in Papierform verzichtet werden.</w:t>
      </w:r>
    </w:p>
    <w:p>
      <w:r>
        <w:t xml:space="preserve">(2) Die Kopie der Wahlbekanntmachung und die Stimmzettelmuster sind durch den Wahlvorstand am oder im Eingang des Gebäudes, in dem sich der Abstimmungsraum befindet, anzubringen.</w:t>
      </w:r>
    </w:p>
    <w:p>
      <w:r>
        <w:t xml:space="preserve">(3) Jede Briefwahlvorsteherin und jeder Briefwahlvorsteher erhält die Wahlbriefe sowie die in Abs. 1 Satz 1 Nrn. 3, 7 bis 13 aufgeführten Unterlagen; Satz 2 gilt entsprechend.</w:t>
      </w:r>
    </w:p>
    <w:p>
      <w:r>
        <w:rPr>
          <w:color w:val="555555"/>
          <w:sz w:val="17"/>
        </w:rPr>
        <w:t xml:space="preserve">Zitiervorschlag: § 58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