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GLKrWO (Bayern) — Aufstellung der Wahlvorschläge zur Wahl der Gemeinderatsmitglieder sowie der Kreisrätinnen und Kreisräte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Falls die Partei oder die Wählergruppe keine Festlegungen getroffen hat, beschließt die Aufstellungsversammlung zunächst darüber, nach welchem Wahlverfahren die sich bewerbenden Personen gewählt werden sollen. Folgende Wahlverfahren sind insbesondere möglich:</w:t>
      </w:r>
    </w:p>
    <w:p>
      <w:r>
        <w:t xml:space="preserve">1. Es wird über jede vorgeschlagene sich bewerbende Person einzeln mit „ja“ oder „nein“ geheim abgestimmt.</w:t>
      </w:r>
    </w:p>
    <w:p>
      <w:r>
        <w:t xml:space="preserve">2. Es werden auf einem vorbereiteten Stimmzettel Stimmen an die dort aufgeführten sich bewerbenden Personen geheim vergeben. Wer an der Abstimmung teilnimmt, hat so viele Stimmen, wie sich bewerbende Personen zu wählen sind, wobei jeder sich bewerbenden Person bis zu drei Stimmen gegeben werden können.</w:t>
      </w:r>
    </w:p>
    <w:p>
      <w:r>
        <w:t xml:space="preserve">3. Es wird über eine vorbereitete Liste oder über Teile einer solchen Liste von sich bewerbenden Personen im Ganzen in einem Wahlgang (Blockwahl) mit „ja“ oder „nein“ geheim abgestimmt. Änderungsanträge oder Streichungen von Namen müssen zugelassen werden; über Änderungsanträge ist vorweg geheim abzustimmen.</w:t>
      </w:r>
    </w:p>
    <w:p>
      <w:r>
        <w:t xml:space="preserve">(2) Die Versammlung stimmt geheim über die Reihenfolge aller sich bewerbenden Personen ab. Falls sich bewerbende Personen mehrfach auf dem Stimmzettel aufgeführt werden sollen, ist darüber ebenfalls geheim abzustimmen. Die gesonderte Abstimmung über die Reihenfolge und die mehrfache Aufführung kann dadurch ersetzt werden, dass bei der Wahl der sich bewerbenden Personen gleichzeitig über ihre Reihenfolge und ihre mehrfache Aufführung abgestimmt wird.</w:t>
      </w:r>
    </w:p>
    <w:p>
      <w:r>
        <w:t xml:space="preserve">(3) Die Versammlung beschließt, auf welche Weise die Plätze der ausgeschiedenen sich bewerbenden Personen durch Ersatzleute besetzt werden sollen.</w:t>
      </w:r>
    </w:p>
    <w:p>
      <w:r>
        <w:rPr>
          <w:color w:val="555555"/>
          <w:sz w:val="17"/>
        </w:rPr>
        <w:t xml:space="preserve">Zitiervorschlag: § 40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