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GLKrWO (Bayern) — Wahlunterlagen bei Zusammentreffen mehrerer Wahlen</w:t>
      </w:r>
    </w:p>
    <w:p>
      <w:r>
        <w:rPr>
          <w:color w:val="555555"/>
          <w:sz w:val="18"/>
        </w:rPr>
        <w:t xml:space="preserve">Gemeinde- und Landkreiswahlordnung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Sind Gemeinderatswahlen, Bürgermeisterwahlen, Kreistagswahlen oder Landratswahlen verbunden, müssen sich die Stimmzettel für alle Wahlen durch ihre Farbe deutlich unterscheiden. Die Farben bestimmt das Landratsamt.</w:t>
      </w:r>
    </w:p>
    <w:p>
      <w:r>
        <w:t xml:space="preserve">(2) Treffen Gemeinde- und Landkreiswahlen mit einer anderen Wahl oder einer Abstimmung zusammen, müssen sich die Stimmzettel, die Wahlscheine, die Stimmzettelumschläge und die Merkblätter für die Gemeinde- und Landkreiswahlen durch ihre Farbe und durch Aufdruck der Bezeichnung der Wahl oder der Abstimmung von denen der anderen Wahl oder der Abstimmung deutlich unterscheiden; ein entsprechender Aufdruck ist auch auf den Wahlbriefumschlägen anzubringen. Das Staatsministerium des Innern, für Sport und Integration kann die Farbe der Wahlbriefumschläge und der sonstigen Wahlunterlagen für die Gemeinde- und Landkreiswahlen oder der Abstimmungsunterlagen bestimmen.</w:t>
      </w:r>
    </w:p>
    <w:p>
      <w:r>
        <w:rPr>
          <w:color w:val="555555"/>
          <w:sz w:val="17"/>
        </w:rPr>
        <w:t xml:space="preserve">Zitiervorschlag: § 33 GLKrWO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https://recht.nulegal.eu/gesetze/GLKrWO/33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