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GLKrWO (Bayern) — Einsatz von Datenverarbeitungsanlagen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Einsatz von Datenverarbeitungsanlagen ist zulässig bei</w:t>
      </w:r>
    </w:p>
    <w:p>
      <w:r>
        <w:t xml:space="preserve">1. der Vorbereitung der Wahl,</w:t>
      </w:r>
    </w:p>
    <w:p>
      <w:r>
        <w:t xml:space="preserve">2. der Durchführung der Wahl mit Ausnahme der Stimmabgabe sowie</w:t>
      </w:r>
    </w:p>
    <w:p>
      <w:r>
        <w:t xml:space="preserve">3. bei der Ermittlung und Feststellung des Wahlergebnisses und bei der Erstellung von Statistiken.</w:t>
      </w:r>
    </w:p>
    <w:p>
      <w:r>
        <w:rPr>
          <w:color w:val="555555"/>
          <w:sz w:val="17"/>
        </w:rPr>
        <w:t xml:space="preserve">Zitiervorschlag: § 12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