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GLKrWO (Bayern) — Inkrafttreten, Außerkrafttreten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Dezember 2006 in Kraft.</w:t>
      </w:r>
    </w:p>
    <w:p>
      <w:r>
        <w:t xml:space="preserve">(2) Mit Ablauf des 30. November 2006 tritt die Wahlordnung für die Gemeinde- und die Landkreiswahlen (Gemeinde- und Landkreiswahlordnung – GLKrWO) vom 5. April 2000 (GVBl S. 213, BayRS 2021-1/2-1-I) außer Kraft.</w:t>
      </w:r>
    </w:p>
    <w:p>
      <w:r>
        <w:rPr>
          <w:color w:val="555555"/>
          <w:sz w:val="17"/>
        </w:rPr>
        <w:t xml:space="preserve">Zitiervorschlag: § 102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https://recht.nulegal.eu/gesetze/GLKrWO/102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