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GLKrWO (Bayern) — Niederschriften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Verhandlungen der Wahlorgane fertigen die Schriftführerinnen und Schriftführer eine gesonderte Niederschrift für jede Wahl. Übernimmt der Wahlvorstand die Geschäfte des Briefwahlvorstands, fertigt er nur eine Niederschrift für die Urnen- und die Briefwahl.</w:t>
      </w:r>
    </w:p>
    <w:p>
      <w:r>
        <w:t xml:space="preserve">(2) Die Beschlüsse sind mit Ausnahme der Beschlüsse über die Gültigkeit der Stimmzettel, der Wahlbriefe und der Wahlscheine in die Niederschrift aufzunehmen; soweit sie nicht einstimmig gefasst werden, ist das Stimmenverhältnis anzugeben.</w:t>
      </w:r>
    </w:p>
    <w:p>
      <w:r>
        <w:t xml:space="preserve">(3) Niederschriften des Wahlausschusses sind von der Schriftführerin oder dem Schriftführer und von der Wahlleiterin oder dem Wahlleiter, die Niederschriften der Wahlvorstände und der Briefwahlvorstände von allen anwesenden Mitgliedern zu unterzeichnen; bei Einsatz einer Datenverarbeitungsanlage können sie in elektronischer Form erstellt und ausgedruckt werden. Verweigern Mitglieder die Unterschrift, ist das unter Angabe des Grundes zu vermerken.</w:t>
      </w:r>
    </w:p>
    <w:p>
      <w:r>
        <w:rPr>
          <w:color w:val="555555"/>
          <w:sz w:val="17"/>
        </w:rPr>
        <w:t xml:space="preserve">Zitiervorschlag: § 10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