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60 GLKrWG (Bayern) — Übergangsregelung</w:t>
      </w:r>
    </w:p>
    <w:p>
      <w:r>
        <w:rPr>
          <w:color w:val="555555"/>
          <w:sz w:val="18"/>
        </w:rPr>
        <w:t xml:space="preserve">Gemeinde- und Landkreiswahlgesetz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Wahlen, die vor den allgemeinen Gemeinde- und Landkreiswahlen 2026 stattfinden, sind Art. 25 Abs. 1 und 2, Art. 28 Abs. 1, Art. 31, Art. 32 Abs. 1 bis 4, Art. 33, Art. 34 und Art. 38 Abs. 1 in der bis zum Ablauf des 31. Dezember 2023 geltenden Fassung anzuwenden.</w:t>
      </w:r>
    </w:p>
    <w:p>
      <w:r>
        <w:rPr>
          <w:color w:val="555555"/>
          <w:sz w:val="17"/>
        </w:rPr>
        <w:t xml:space="preserve">Zitiervorschlag: Art 60 GLKrWG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https://recht.nulegal.eu/gesetze/GLKrWG/60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