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57 GLKrWG (Bayern) — Ordnungswidrigkeiten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kann belegt werden, wer entgegen Art. 20 Abs. 1, auch in Verbindung mit Art. 28 Abs. 1 Satz 2, Abstimmende oder Unterzeichnende beeinflusst, behindert oder belästigt.</w:t>
      </w:r>
    </w:p>
    <w:p>
      <w:r>
        <w:t xml:space="preserve">(2) Mit Geldbuße bis zu fünfzigtausend Euro kann belegt werden, wer entgegen Art. 20 Abs. 2 vor Ablauf der Abstimmungszeit Ergebnisse von Befragungen über den Inhalt der Stimmrechtsausübung, die nach der Stimmabgabe vorgenommen wurden, veröffentlicht.</w:t>
      </w:r>
    </w:p>
    <w:p>
      <w:r>
        <w:rPr>
          <w:color w:val="555555"/>
          <w:sz w:val="17"/>
        </w:rPr>
        <w:t xml:space="preserve">Zitiervorschlag: Art 57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