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51a GLKrWG (Bayern) — Rechtsweg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Gegen die Entscheidung der Rechtsaufsichtsbehörde oder ihre Unterlassung kann der Verwaltungsrechtsweg beschritten werden von</w:t>
      </w:r>
    </w:p>
    <w:p>
      <w:r>
        <w:t xml:space="preserve">1. einer Person, die geltend macht, hierdurch in ihren Rechten verletzt zu sein, oder</w:t>
      </w:r>
    </w:p>
    <w:p>
      <w:r>
        <w:t xml:space="preserve">2. einer anderen Person, die die Wahl angefochten hat, wenn ihr mindestens fünf im Wahlkreis wahlberechtigte Personen beitreten.</w:t>
      </w:r>
    </w:p>
    <w:p>
      <w:r>
        <w:rPr>
          <w:color w:val="555555"/>
          <w:sz w:val="17"/>
        </w:rPr>
        <w:t xml:space="preserve">Zitiervorschlag: Art 51a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https://recht.nulegal.eu/gesetze/GLKrWG/51a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