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GLKrWG (Bayern) — Wahlprüfung</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Rechtsaufsichtsbehörde prüft von Amts wegen die Vorbereitung und die Durchführung der Wahlen sowie das vom Wahlausschuss festgestellte Wahlergebnis.</w:t>
      </w:r>
    </w:p>
    <w:p>
      <w:r>
        <w:t xml:space="preserve">(2) Wurden Wahlvorschriften verletzt, hat die Rechtsaufsichtsbehörde das Wahlergebnis zu berichtigen, wenn</w:t>
      </w:r>
    </w:p>
    <w:p>
      <w:r>
        <w:t xml:space="preserve">1. bei der Bürgermeisterwahl oder der Landratswahl eine andere Person das Amt erhalten hätte,</w:t>
      </w:r>
    </w:p>
    <w:p>
      <w:r>
        <w:t xml:space="preserve">2. bei der Gemeinderatswahl oder der Kreistagswahl die Verteilung der Sitze auf die Wahlvorschläge anders wäre, andere Personen das Amt erhalten hätten, andere Personen Listennachfolger wären oder die Reihenfolge der Listennachfolger anders wäre; dies gilt auch im Fall des Art. 35 Abs. 1 Satz 2.</w:t>
      </w:r>
    </w:p>
    <w:p>
      <w:r>
        <w:t xml:space="preserve">Wären bei Einhaltung der Wahlvorschriften lediglich andere Stimmenzahlen festzustellen, kann sie das Wahlergebnis berichtigen. Sie ist befugt, die Auswertung der Stimmzettel einschließlich der Entscheidungen der Wahlvorstände und der Briefwahlvorstände zu berichtigen.</w:t>
      </w:r>
    </w:p>
    <w:p>
      <w:r>
        <w:t xml:space="preserve">(3) Wurden Wahlvorschriften verletzt und ist es möglich, dass es dadurch zu einer unrichtigen Sitzverteilung oder Ämterverteilung gekommen ist, die nicht berichtigt werden kann, hat die Rechtsaufsichtsbehörde die Wahl für ungültig zu erklären.</w:t>
      </w:r>
    </w:p>
    <w:p>
      <w:r>
        <w:t xml:space="preserve">(4) Bei Berichtigung und Ungültigerklärung bleibt die Verletzung von Wahlvorschriften außer Betracht, die dem Nachweis dienen, dass Vorschriften des materiellen Wahlrechts eingehalten werden, wenn der Nachweis auf andere Weise erbracht wird; die Rechtsaufsichtsbehörde ist berechtigt, hierüber Versicherungen an Eides statt zu verlangen und abzunehmen. Ferner bleiben insoweit Verstöße der Wahlleiterinnen und Wahlleiter gegen Art. 32 Abs. 1 außer Betracht. Bei Berichtigung und Ungültigerklärung einer Nachwahl bleiben Verletzungen von Wahlvorschriften außer Betracht, die bereits die für ungültig erklärte Wahl betrafen.</w:t>
      </w:r>
    </w:p>
    <w:p>
      <w:r>
        <w:t xml:space="preserve">(5) Berichtigung und Ungültigerklärung sowie deren Änderung oder Aufhebung sind nur innerhalb einer Frist von vier Monaten nach Verkündung des abschließenden Wahlergebnisses zulässig. Ist auf Grund tatsächlicher Anhaltspunkte anzunehmen, dass die Wahl zu berichtigen oder für ungültig zu erklären ist, bedarf es aber noch einer weiteren Aufklärung des Sachverhalts, kann die Rechtsaufsichtsbehörde die Frist verlängern.</w:t>
      </w:r>
    </w:p>
    <w:p>
      <w:r>
        <w:t xml:space="preserve">(6) Eine bestandskräftige oder sofort vollziehbare Berichtigung oder Ungültigerklärung berührt nicht die Wirksamkeit vorher gefasster Beschlüsse und vorgenommener Amtshandlungen.</w:t>
      </w:r>
    </w:p>
    <w:p>
      <w:r>
        <w:t xml:space="preserve">(7) Ist die Wahlzeit und die Amtszeit des Gemeinderats und der ersten Bürgermeisterin oder des ersten Bürgermeisters oder des Kreistags und der Landrätin oder des Landrats beendet, führt eine von der Rechtsaufsichtsbehörde eingesetzte beauftragte Person die Geschäfte bis zum Amtsantritt der neugewählten Amtsnachfolgerin oder des neugewählten Amtsnachfolgers oder einer Stellvertretung. Die beauftragte Person hat sich auf laufende und auf unaufschiebbare Geschäfte zu beschränken.</w:t>
      </w:r>
    </w:p>
    <w:p>
      <w:r>
        <w:rPr>
          <w:color w:val="555555"/>
          <w:sz w:val="17"/>
        </w:rPr>
        <w:t xml:space="preserve">Zitiervorschlag: Art 50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