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GLKrWG (Bayern) — Amtszeit der ehrenamtlichen ersten Bürgermeisterinnen und Bürgermeister</w:t>
      </w:r>
    </w:p>
    <w:p>
      <w:r>
        <w:rPr>
          <w:color w:val="555555"/>
          <w:sz w:val="18"/>
        </w:rPr>
        <w:t xml:space="preserve">Gemeinde- und Landkreiswahlgesetz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ehrenamtlichen ersten Bürgermeisterinnen und Bürgermeister werden zugleich mit dem Gemeinderat auf die Dauer von sechs Jahren gewählt.</w:t>
      </w:r>
    </w:p>
    <w:p>
      <w:r>
        <w:t xml:space="preserve">(2) Endet das Beamtenverhältnis der bisherigen ersten Bürgermeisterin oder des bisherigen ersten Bürgermeisters während der Wahlzeit des Gemeinderats, findet eine Neuwahl vorbehaltlich Art. 43 Abs. 2 für den Rest der Wahlzeit des Gemeinderats statt.</w:t>
      </w:r>
    </w:p>
    <w:p>
      <w:r>
        <w:rPr>
          <w:color w:val="555555"/>
          <w:sz w:val="17"/>
        </w:rPr>
        <w:t xml:space="preserve">Zitiervorschlag: Art 41 GLKrWG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